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8C" w:rsidRPr="002B5C3B" w:rsidRDefault="00433737" w:rsidP="00196F5D">
      <w:pPr>
        <w:pStyle w:val="ListParagraph"/>
        <w:ind w:left="0"/>
        <w:contextualSpacing/>
        <w:outlineLvl w:val="1"/>
        <w:rPr>
          <w:rFonts w:ascii="Arial" w:hAnsi="Arial" w:cs="Arial"/>
          <w:b/>
          <w:color w:val="auto"/>
          <w:sz w:val="24"/>
        </w:rPr>
      </w:pPr>
      <w:bookmarkStart w:id="0" w:name="_Toc343591382"/>
      <w:bookmarkStart w:id="1" w:name="_GoBack"/>
      <w:r w:rsidRPr="002B5C3B">
        <w:rPr>
          <w:rFonts w:ascii="Arial" w:hAnsi="Arial" w:cs="Arial"/>
          <w:b/>
          <w:color w:val="auto"/>
          <w:sz w:val="24"/>
        </w:rPr>
        <w:t xml:space="preserve">National TB </w:t>
      </w:r>
      <w:r w:rsidR="00B81F8C" w:rsidRPr="002B5C3B">
        <w:rPr>
          <w:rFonts w:ascii="Arial" w:hAnsi="Arial" w:cs="Arial"/>
          <w:b/>
          <w:color w:val="auto"/>
          <w:sz w:val="24"/>
        </w:rPr>
        <w:t>Service Specification</w:t>
      </w:r>
      <w:bookmarkEnd w:id="0"/>
    </w:p>
    <w:p w:rsidR="00B81F8C" w:rsidRPr="002B5C3B" w:rsidRDefault="00B81F8C" w:rsidP="00B81F8C">
      <w:pPr>
        <w:spacing w:after="0"/>
        <w:jc w:val="both"/>
        <w:rPr>
          <w:rFonts w:ascii="Arial" w:hAnsi="Arial" w:cs="Arial"/>
          <w:color w:val="auto"/>
          <w:sz w:val="24"/>
          <w:szCs w:val="24"/>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3261"/>
        <w:gridCol w:w="5981"/>
      </w:tblGrid>
      <w:tr w:rsidR="00B81F8C" w:rsidRPr="002B5C3B" w:rsidTr="00F77D02">
        <w:trPr>
          <w:gridBefore w:val="1"/>
          <w:wBefore w:w="18" w:type="pct"/>
        </w:trPr>
        <w:tc>
          <w:tcPr>
            <w:tcW w:w="1758" w:type="pct"/>
            <w:shd w:val="clear" w:color="auto" w:fill="FFFFFF" w:themeFill="background1"/>
          </w:tcPr>
          <w:p w:rsidR="00B81F8C" w:rsidRDefault="00B81F8C" w:rsidP="00283468">
            <w:pPr>
              <w:spacing w:after="0" w:line="360" w:lineRule="auto"/>
              <w:rPr>
                <w:rFonts w:ascii="Arial" w:hAnsi="Arial" w:cs="Arial"/>
                <w:b/>
                <w:color w:val="auto"/>
                <w:sz w:val="24"/>
                <w:szCs w:val="24"/>
              </w:rPr>
            </w:pPr>
            <w:r w:rsidRPr="002B5C3B">
              <w:rPr>
                <w:rFonts w:ascii="Arial" w:hAnsi="Arial" w:cs="Arial"/>
                <w:b/>
                <w:color w:val="auto"/>
                <w:sz w:val="24"/>
                <w:szCs w:val="24"/>
              </w:rPr>
              <w:t>Service Specification No.</w:t>
            </w:r>
          </w:p>
          <w:p w:rsidR="005F6CF9" w:rsidRPr="002B5C3B" w:rsidRDefault="005F6CF9" w:rsidP="00283468">
            <w:pPr>
              <w:spacing w:after="0" w:line="360" w:lineRule="auto"/>
              <w:rPr>
                <w:rFonts w:ascii="Arial" w:hAnsi="Arial" w:cs="Arial"/>
                <w:b/>
                <w:color w:val="auto"/>
                <w:sz w:val="24"/>
                <w:szCs w:val="24"/>
              </w:rPr>
            </w:pPr>
            <w:r w:rsidRPr="00725E01">
              <w:rPr>
                <w:rFonts w:ascii="Arial" w:hAnsi="Arial" w:cs="Arial"/>
                <w:color w:val="auto"/>
                <w:sz w:val="24"/>
                <w:szCs w:val="24"/>
              </w:rPr>
              <w:t>TBA with NHS England</w:t>
            </w:r>
          </w:p>
        </w:tc>
        <w:tc>
          <w:tcPr>
            <w:tcW w:w="3223" w:type="pct"/>
            <w:shd w:val="clear" w:color="auto" w:fill="auto"/>
          </w:tcPr>
          <w:p w:rsidR="00196F5D" w:rsidRPr="002B5C3B" w:rsidRDefault="00196F5D" w:rsidP="00196F5D">
            <w:pPr>
              <w:spacing w:after="0"/>
              <w:rPr>
                <w:rFonts w:ascii="Arial" w:hAnsi="Arial" w:cs="Arial"/>
                <w:color w:val="auto"/>
                <w:sz w:val="12"/>
                <w:szCs w:val="12"/>
              </w:rPr>
            </w:pPr>
          </w:p>
          <w:p w:rsidR="005F6CF9" w:rsidRDefault="005F6CF9" w:rsidP="005F6CF9">
            <w:pPr>
              <w:spacing w:after="0"/>
              <w:rPr>
                <w:rFonts w:ascii="Arial" w:hAnsi="Arial" w:cs="Arial"/>
                <w:color w:val="auto"/>
                <w:sz w:val="24"/>
                <w:szCs w:val="24"/>
              </w:rPr>
            </w:pPr>
            <w:r w:rsidRPr="002B5C3B">
              <w:rPr>
                <w:rFonts w:ascii="Arial" w:hAnsi="Arial" w:cs="Arial"/>
                <w:color w:val="auto"/>
                <w:sz w:val="24"/>
                <w:szCs w:val="24"/>
              </w:rPr>
              <w:t>This document is the 201</w:t>
            </w:r>
            <w:r w:rsidR="00727A95">
              <w:rPr>
                <w:rFonts w:ascii="Arial" w:hAnsi="Arial" w:cs="Arial"/>
                <w:color w:val="auto"/>
                <w:sz w:val="24"/>
                <w:szCs w:val="24"/>
              </w:rPr>
              <w:t>8</w:t>
            </w:r>
            <w:r w:rsidRPr="002B5C3B">
              <w:rPr>
                <w:rFonts w:ascii="Arial" w:hAnsi="Arial" w:cs="Arial"/>
                <w:color w:val="auto"/>
                <w:sz w:val="24"/>
                <w:szCs w:val="24"/>
              </w:rPr>
              <w:t xml:space="preserve"> update of previous editions and provides suggested text and a template for </w:t>
            </w:r>
            <w:r>
              <w:rPr>
                <w:rFonts w:ascii="Arial" w:hAnsi="Arial" w:cs="Arial"/>
                <w:color w:val="auto"/>
                <w:sz w:val="24"/>
                <w:szCs w:val="24"/>
              </w:rPr>
              <w:t xml:space="preserve">a </w:t>
            </w:r>
            <w:r w:rsidRPr="002B5C3B">
              <w:rPr>
                <w:rFonts w:ascii="Arial" w:hAnsi="Arial" w:cs="Arial"/>
                <w:color w:val="auto"/>
                <w:sz w:val="24"/>
                <w:szCs w:val="24"/>
              </w:rPr>
              <w:t xml:space="preserve">local TB </w:t>
            </w:r>
            <w:r>
              <w:rPr>
                <w:rFonts w:ascii="Arial" w:hAnsi="Arial" w:cs="Arial"/>
                <w:color w:val="auto"/>
                <w:sz w:val="24"/>
                <w:szCs w:val="24"/>
              </w:rPr>
              <w:t>service specification</w:t>
            </w:r>
            <w:r w:rsidRPr="002B5C3B">
              <w:rPr>
                <w:rFonts w:ascii="Arial" w:hAnsi="Arial" w:cs="Arial"/>
                <w:color w:val="auto"/>
                <w:sz w:val="24"/>
                <w:szCs w:val="24"/>
              </w:rPr>
              <w:t xml:space="preserve">; for use </w:t>
            </w:r>
            <w:r>
              <w:rPr>
                <w:rFonts w:ascii="Arial" w:hAnsi="Arial" w:cs="Arial"/>
                <w:color w:val="auto"/>
                <w:sz w:val="24"/>
                <w:szCs w:val="24"/>
              </w:rPr>
              <w:t>in</w:t>
            </w:r>
            <w:r w:rsidRPr="002B5C3B">
              <w:rPr>
                <w:rFonts w:ascii="Arial" w:hAnsi="Arial" w:cs="Arial"/>
                <w:color w:val="auto"/>
                <w:sz w:val="24"/>
                <w:szCs w:val="24"/>
              </w:rPr>
              <w:t xml:space="preserve"> local determination and agreement. It sets </w:t>
            </w:r>
            <w:r>
              <w:rPr>
                <w:rFonts w:ascii="Arial" w:hAnsi="Arial" w:cs="Arial"/>
                <w:color w:val="auto"/>
                <w:sz w:val="24"/>
                <w:szCs w:val="24"/>
              </w:rPr>
              <w:t>expected outcomes, service standards and key performance indicators for commissioners to use when commissioning TB services either as a separate TB contract or as part of provider contract.</w:t>
            </w:r>
          </w:p>
          <w:p w:rsidR="005F6CF9" w:rsidRDefault="005F6CF9" w:rsidP="005F6CF9">
            <w:pPr>
              <w:spacing w:after="0"/>
              <w:rPr>
                <w:rFonts w:ascii="Arial" w:hAnsi="Arial" w:cs="Arial"/>
                <w:color w:val="auto"/>
                <w:sz w:val="24"/>
                <w:szCs w:val="24"/>
              </w:rPr>
            </w:pPr>
          </w:p>
          <w:p w:rsidR="00B81F8C" w:rsidRDefault="005F6CF9" w:rsidP="005F6CF9">
            <w:pPr>
              <w:spacing w:after="0"/>
              <w:rPr>
                <w:rFonts w:ascii="Arial" w:hAnsi="Arial" w:cs="Arial"/>
                <w:color w:val="auto"/>
                <w:sz w:val="24"/>
                <w:szCs w:val="24"/>
              </w:rPr>
            </w:pPr>
            <w:r>
              <w:rPr>
                <w:rFonts w:ascii="Arial" w:hAnsi="Arial" w:cs="Arial"/>
                <w:color w:val="auto"/>
                <w:sz w:val="24"/>
                <w:szCs w:val="24"/>
              </w:rPr>
              <w:t>This service specification also sets out additional or alternative key perfo</w:t>
            </w:r>
            <w:r w:rsidR="001760B5">
              <w:rPr>
                <w:rFonts w:ascii="Arial" w:hAnsi="Arial" w:cs="Arial"/>
                <w:color w:val="auto"/>
                <w:sz w:val="24"/>
                <w:szCs w:val="24"/>
              </w:rPr>
              <w:t>r</w:t>
            </w:r>
            <w:r>
              <w:rPr>
                <w:rFonts w:ascii="Arial" w:hAnsi="Arial" w:cs="Arial"/>
                <w:color w:val="auto"/>
                <w:sz w:val="24"/>
                <w:szCs w:val="24"/>
              </w:rPr>
              <w:t>m</w:t>
            </w:r>
            <w:r w:rsidR="001760B5">
              <w:rPr>
                <w:rFonts w:ascii="Arial" w:hAnsi="Arial" w:cs="Arial"/>
                <w:color w:val="auto"/>
                <w:sz w:val="24"/>
                <w:szCs w:val="24"/>
              </w:rPr>
              <w:t>a</w:t>
            </w:r>
            <w:r>
              <w:rPr>
                <w:rFonts w:ascii="Arial" w:hAnsi="Arial" w:cs="Arial"/>
                <w:color w:val="auto"/>
                <w:sz w:val="24"/>
                <w:szCs w:val="24"/>
              </w:rPr>
              <w:t xml:space="preserve">nce indicators.  </w:t>
            </w:r>
          </w:p>
          <w:p w:rsidR="005F6CF9" w:rsidRDefault="005F6CF9" w:rsidP="005F6CF9">
            <w:pPr>
              <w:spacing w:after="0"/>
              <w:rPr>
                <w:rFonts w:ascii="Arial" w:hAnsi="Arial" w:cs="Arial"/>
                <w:color w:val="auto"/>
                <w:sz w:val="24"/>
                <w:szCs w:val="24"/>
              </w:rPr>
            </w:pPr>
          </w:p>
          <w:p w:rsidR="009D52DC" w:rsidRPr="002B5C3B" w:rsidRDefault="009D52DC" w:rsidP="00196F5D">
            <w:pPr>
              <w:spacing w:after="0"/>
              <w:rPr>
                <w:rFonts w:ascii="Arial" w:hAnsi="Arial" w:cs="Arial"/>
                <w:color w:val="auto"/>
                <w:sz w:val="24"/>
                <w:szCs w:val="24"/>
              </w:rPr>
            </w:pPr>
            <w:r>
              <w:rPr>
                <w:rFonts w:ascii="Arial" w:hAnsi="Arial" w:cs="Arial"/>
                <w:color w:val="auto"/>
                <w:sz w:val="24"/>
                <w:szCs w:val="24"/>
              </w:rPr>
              <w:t xml:space="preserve">This document should be read in conjunction with the </w:t>
            </w:r>
            <w:r w:rsidR="005F6CF9">
              <w:rPr>
                <w:rFonts w:ascii="Arial" w:hAnsi="Arial" w:cs="Arial"/>
                <w:color w:val="auto"/>
                <w:sz w:val="24"/>
                <w:szCs w:val="24"/>
              </w:rPr>
              <w:t xml:space="preserve">2017 </w:t>
            </w:r>
            <w:r>
              <w:rPr>
                <w:rFonts w:ascii="Arial" w:hAnsi="Arial" w:cs="Arial"/>
                <w:color w:val="auto"/>
                <w:sz w:val="24"/>
                <w:szCs w:val="24"/>
              </w:rPr>
              <w:t>National TB Clinical Policy document.</w:t>
            </w:r>
          </w:p>
          <w:p w:rsidR="00196F5D" w:rsidRPr="002B5C3B" w:rsidRDefault="00196F5D" w:rsidP="008C5A1A">
            <w:pPr>
              <w:spacing w:after="0"/>
              <w:rPr>
                <w:rFonts w:ascii="Arial" w:hAnsi="Arial" w:cs="Arial"/>
                <w:color w:val="auto"/>
                <w:sz w:val="12"/>
                <w:szCs w:val="12"/>
              </w:rPr>
            </w:pPr>
          </w:p>
        </w:tc>
      </w:tr>
      <w:tr w:rsidR="00B81F8C" w:rsidRPr="002B5C3B" w:rsidTr="00F77D02">
        <w:trPr>
          <w:gridBefore w:val="1"/>
          <w:wBefore w:w="18" w:type="pct"/>
        </w:trPr>
        <w:tc>
          <w:tcPr>
            <w:tcW w:w="1758" w:type="pct"/>
            <w:shd w:val="clear" w:color="auto" w:fill="FFFFFF" w:themeFill="background1"/>
            <w:vAlign w:val="center"/>
          </w:tcPr>
          <w:p w:rsidR="00B81F8C" w:rsidRPr="002B5C3B" w:rsidRDefault="00B81F8C" w:rsidP="005F6CF9">
            <w:pPr>
              <w:spacing w:after="0" w:line="360" w:lineRule="auto"/>
              <w:rPr>
                <w:rFonts w:ascii="Arial" w:hAnsi="Arial" w:cs="Arial"/>
                <w:b/>
                <w:color w:val="auto"/>
                <w:sz w:val="24"/>
                <w:szCs w:val="24"/>
              </w:rPr>
            </w:pPr>
            <w:r w:rsidRPr="002B5C3B">
              <w:rPr>
                <w:rFonts w:ascii="Arial" w:hAnsi="Arial" w:cs="Arial"/>
                <w:b/>
                <w:color w:val="auto"/>
                <w:sz w:val="24"/>
                <w:szCs w:val="24"/>
              </w:rPr>
              <w:t>Service</w:t>
            </w:r>
          </w:p>
        </w:tc>
        <w:tc>
          <w:tcPr>
            <w:tcW w:w="3223" w:type="pct"/>
            <w:shd w:val="clear" w:color="auto" w:fill="auto"/>
          </w:tcPr>
          <w:p w:rsidR="00196F5D" w:rsidRPr="002B5C3B" w:rsidRDefault="00196F5D" w:rsidP="00283468">
            <w:pPr>
              <w:spacing w:after="0"/>
              <w:rPr>
                <w:rFonts w:ascii="Arial" w:hAnsi="Arial" w:cs="Arial"/>
                <w:color w:val="auto"/>
                <w:sz w:val="12"/>
                <w:szCs w:val="12"/>
              </w:rPr>
            </w:pPr>
          </w:p>
          <w:p w:rsidR="00B81F8C" w:rsidRPr="002B5C3B" w:rsidRDefault="007F2C69" w:rsidP="00283468">
            <w:pPr>
              <w:spacing w:after="0"/>
              <w:rPr>
                <w:rFonts w:ascii="Arial" w:hAnsi="Arial" w:cs="Arial"/>
                <w:color w:val="auto"/>
                <w:sz w:val="24"/>
                <w:szCs w:val="24"/>
              </w:rPr>
            </w:pPr>
            <w:r w:rsidRPr="002B5C3B">
              <w:rPr>
                <w:rFonts w:ascii="Arial" w:hAnsi="Arial" w:cs="Arial"/>
                <w:color w:val="auto"/>
                <w:sz w:val="24"/>
                <w:szCs w:val="24"/>
              </w:rPr>
              <w:t xml:space="preserve">TB services </w:t>
            </w:r>
            <w:r w:rsidR="0079472B" w:rsidRPr="002B5C3B">
              <w:rPr>
                <w:rFonts w:ascii="Arial" w:hAnsi="Arial" w:cs="Arial"/>
                <w:color w:val="auto"/>
                <w:sz w:val="24"/>
                <w:szCs w:val="24"/>
              </w:rPr>
              <w:t>– TB diagnosis and treatment</w:t>
            </w:r>
          </w:p>
          <w:p w:rsidR="00196F5D" w:rsidRPr="002B5C3B" w:rsidRDefault="00196F5D" w:rsidP="00283468">
            <w:pPr>
              <w:spacing w:after="0"/>
              <w:rPr>
                <w:rFonts w:ascii="Arial" w:hAnsi="Arial" w:cs="Arial"/>
                <w:color w:val="auto"/>
                <w:sz w:val="12"/>
                <w:szCs w:val="12"/>
              </w:rPr>
            </w:pPr>
          </w:p>
        </w:tc>
      </w:tr>
      <w:tr w:rsidR="00B81F8C" w:rsidRPr="002B5C3B" w:rsidTr="00F77D02">
        <w:trPr>
          <w:gridBefore w:val="1"/>
          <w:wBefore w:w="18" w:type="pct"/>
        </w:trPr>
        <w:tc>
          <w:tcPr>
            <w:tcW w:w="1758" w:type="pct"/>
            <w:shd w:val="clear" w:color="auto" w:fill="FFFFFF" w:themeFill="background1"/>
            <w:vAlign w:val="center"/>
          </w:tcPr>
          <w:p w:rsidR="00B81F8C" w:rsidRPr="002B5C3B" w:rsidRDefault="00FA30D4" w:rsidP="005F6CF9">
            <w:pPr>
              <w:spacing w:after="0" w:line="360" w:lineRule="auto"/>
              <w:rPr>
                <w:rFonts w:ascii="Arial" w:hAnsi="Arial" w:cs="Arial"/>
                <w:b/>
                <w:color w:val="auto"/>
                <w:sz w:val="24"/>
                <w:szCs w:val="24"/>
              </w:rPr>
            </w:pPr>
            <w:r w:rsidRPr="002B5C3B">
              <w:rPr>
                <w:rFonts w:ascii="Arial" w:hAnsi="Arial" w:cs="Arial"/>
                <w:b/>
                <w:color w:val="auto"/>
                <w:sz w:val="24"/>
                <w:szCs w:val="24"/>
              </w:rPr>
              <w:t>Commissioner l</w:t>
            </w:r>
            <w:r w:rsidR="00B81F8C" w:rsidRPr="002B5C3B">
              <w:rPr>
                <w:rFonts w:ascii="Arial" w:hAnsi="Arial" w:cs="Arial"/>
                <w:b/>
                <w:color w:val="auto"/>
                <w:sz w:val="24"/>
                <w:szCs w:val="24"/>
              </w:rPr>
              <w:t>ead</w:t>
            </w:r>
          </w:p>
        </w:tc>
        <w:tc>
          <w:tcPr>
            <w:tcW w:w="3223" w:type="pct"/>
            <w:shd w:val="clear" w:color="auto" w:fill="auto"/>
          </w:tcPr>
          <w:p w:rsidR="00196F5D" w:rsidRPr="002B5C3B" w:rsidRDefault="00196F5D" w:rsidP="00283468">
            <w:pPr>
              <w:spacing w:after="0"/>
              <w:rPr>
                <w:rFonts w:ascii="Arial" w:hAnsi="Arial" w:cs="Arial"/>
                <w:color w:val="auto"/>
                <w:sz w:val="12"/>
                <w:szCs w:val="12"/>
              </w:rPr>
            </w:pPr>
          </w:p>
          <w:p w:rsidR="00B81F8C" w:rsidRPr="002B5C3B" w:rsidRDefault="0067189E" w:rsidP="00283468">
            <w:pPr>
              <w:spacing w:after="0"/>
              <w:rPr>
                <w:rFonts w:ascii="Arial" w:hAnsi="Arial" w:cs="Arial"/>
                <w:color w:val="auto"/>
                <w:sz w:val="24"/>
                <w:szCs w:val="24"/>
              </w:rPr>
            </w:pPr>
            <w:r w:rsidRPr="002B5C3B">
              <w:rPr>
                <w:rFonts w:ascii="Arial" w:hAnsi="Arial" w:cs="Arial"/>
                <w:color w:val="auto"/>
                <w:sz w:val="24"/>
                <w:szCs w:val="24"/>
              </w:rPr>
              <w:t>XX</w:t>
            </w:r>
            <w:r w:rsidR="009D52DC">
              <w:rPr>
                <w:rFonts w:ascii="Arial" w:hAnsi="Arial" w:cs="Arial"/>
                <w:color w:val="auto"/>
                <w:sz w:val="24"/>
                <w:szCs w:val="24"/>
              </w:rPr>
              <w:t>X</w:t>
            </w:r>
            <w:r w:rsidRPr="002B5C3B">
              <w:rPr>
                <w:rFonts w:ascii="Arial" w:hAnsi="Arial" w:cs="Arial"/>
                <w:color w:val="auto"/>
                <w:sz w:val="24"/>
                <w:szCs w:val="24"/>
              </w:rPr>
              <w:t xml:space="preserve"> Clinical Commissioning Group</w:t>
            </w:r>
            <w:r w:rsidR="0079472B" w:rsidRPr="002B5C3B">
              <w:rPr>
                <w:rFonts w:ascii="Arial" w:hAnsi="Arial" w:cs="Arial"/>
                <w:color w:val="auto"/>
                <w:sz w:val="24"/>
                <w:szCs w:val="24"/>
              </w:rPr>
              <w:t>(s)</w:t>
            </w:r>
            <w:r w:rsidR="00727A95">
              <w:rPr>
                <w:rFonts w:ascii="Arial" w:hAnsi="Arial" w:cs="Arial"/>
                <w:color w:val="auto"/>
                <w:sz w:val="24"/>
                <w:szCs w:val="24"/>
              </w:rPr>
              <w:t>/STP</w:t>
            </w:r>
          </w:p>
          <w:p w:rsidR="00196F5D" w:rsidRPr="002B5C3B" w:rsidRDefault="00196F5D" w:rsidP="00283468">
            <w:pPr>
              <w:spacing w:after="0"/>
              <w:rPr>
                <w:rFonts w:ascii="Arial" w:hAnsi="Arial" w:cs="Arial"/>
                <w:color w:val="auto"/>
                <w:sz w:val="12"/>
                <w:szCs w:val="12"/>
              </w:rPr>
            </w:pPr>
          </w:p>
        </w:tc>
      </w:tr>
      <w:tr w:rsidR="00132D99" w:rsidRPr="002B5C3B" w:rsidTr="00F77D02">
        <w:trPr>
          <w:gridBefore w:val="1"/>
          <w:wBefore w:w="18" w:type="pct"/>
        </w:trPr>
        <w:tc>
          <w:tcPr>
            <w:tcW w:w="1758" w:type="pct"/>
            <w:shd w:val="clear" w:color="auto" w:fill="FFFFFF" w:themeFill="background1"/>
            <w:vAlign w:val="center"/>
          </w:tcPr>
          <w:p w:rsidR="00132D99" w:rsidRPr="002B5C3B" w:rsidRDefault="00132D99" w:rsidP="005F6CF9">
            <w:pPr>
              <w:spacing w:after="0" w:line="360" w:lineRule="auto"/>
              <w:rPr>
                <w:rFonts w:ascii="Arial" w:hAnsi="Arial" w:cs="Arial"/>
                <w:b/>
                <w:color w:val="auto"/>
                <w:sz w:val="24"/>
                <w:szCs w:val="24"/>
              </w:rPr>
            </w:pPr>
            <w:r w:rsidRPr="002B5C3B">
              <w:rPr>
                <w:rFonts w:ascii="Arial" w:hAnsi="Arial" w:cs="Arial"/>
                <w:b/>
                <w:color w:val="auto"/>
                <w:sz w:val="24"/>
                <w:szCs w:val="24"/>
              </w:rPr>
              <w:t>Other commissioners</w:t>
            </w:r>
          </w:p>
        </w:tc>
        <w:tc>
          <w:tcPr>
            <w:tcW w:w="3223" w:type="pct"/>
            <w:shd w:val="clear" w:color="auto" w:fill="auto"/>
          </w:tcPr>
          <w:p w:rsidR="00132D99" w:rsidRPr="002B5C3B" w:rsidRDefault="00132D99" w:rsidP="00283468">
            <w:pPr>
              <w:spacing w:after="0"/>
              <w:rPr>
                <w:rFonts w:ascii="Arial" w:hAnsi="Arial" w:cs="Arial"/>
                <w:color w:val="auto"/>
                <w:sz w:val="12"/>
                <w:szCs w:val="12"/>
              </w:rPr>
            </w:pPr>
          </w:p>
          <w:p w:rsidR="008D276C" w:rsidRPr="002B5C3B" w:rsidRDefault="002B5C3B" w:rsidP="00283468">
            <w:pPr>
              <w:spacing w:after="0"/>
              <w:rPr>
                <w:rFonts w:ascii="Arial" w:hAnsi="Arial" w:cs="Arial"/>
                <w:color w:val="auto"/>
                <w:sz w:val="24"/>
                <w:szCs w:val="24"/>
              </w:rPr>
            </w:pPr>
            <w:r>
              <w:rPr>
                <w:rFonts w:ascii="Arial" w:hAnsi="Arial" w:cs="Arial"/>
                <w:color w:val="auto"/>
                <w:sz w:val="24"/>
                <w:szCs w:val="24"/>
              </w:rPr>
              <w:t>ZZZ other</w:t>
            </w:r>
          </w:p>
          <w:p w:rsidR="008D276C" w:rsidRPr="002B5C3B" w:rsidRDefault="008D276C" w:rsidP="00283468">
            <w:pPr>
              <w:spacing w:after="0"/>
              <w:rPr>
                <w:rFonts w:ascii="Arial" w:hAnsi="Arial" w:cs="Arial"/>
                <w:color w:val="auto"/>
                <w:sz w:val="12"/>
                <w:szCs w:val="12"/>
              </w:rPr>
            </w:pPr>
          </w:p>
        </w:tc>
      </w:tr>
      <w:tr w:rsidR="00B81F8C" w:rsidRPr="002B5C3B" w:rsidTr="00F77D02">
        <w:trPr>
          <w:gridBefore w:val="1"/>
          <w:wBefore w:w="18" w:type="pct"/>
        </w:trPr>
        <w:tc>
          <w:tcPr>
            <w:tcW w:w="1758" w:type="pct"/>
            <w:shd w:val="clear" w:color="auto" w:fill="FFFFFF" w:themeFill="background1"/>
            <w:vAlign w:val="center"/>
          </w:tcPr>
          <w:p w:rsidR="00B81F8C" w:rsidRPr="002B5C3B" w:rsidRDefault="00FA30D4" w:rsidP="005F6CF9">
            <w:pPr>
              <w:spacing w:after="0" w:line="360" w:lineRule="auto"/>
              <w:rPr>
                <w:rFonts w:ascii="Arial" w:hAnsi="Arial" w:cs="Arial"/>
                <w:b/>
                <w:color w:val="auto"/>
                <w:sz w:val="24"/>
                <w:szCs w:val="24"/>
              </w:rPr>
            </w:pPr>
            <w:r w:rsidRPr="002B5C3B">
              <w:rPr>
                <w:rFonts w:ascii="Arial" w:hAnsi="Arial" w:cs="Arial"/>
                <w:b/>
                <w:color w:val="auto"/>
                <w:sz w:val="24"/>
                <w:szCs w:val="24"/>
              </w:rPr>
              <w:t>Provider</w:t>
            </w:r>
            <w:r w:rsidR="00132D99" w:rsidRPr="002B5C3B">
              <w:rPr>
                <w:rFonts w:ascii="Arial" w:hAnsi="Arial" w:cs="Arial"/>
                <w:b/>
                <w:color w:val="auto"/>
                <w:sz w:val="24"/>
                <w:szCs w:val="24"/>
              </w:rPr>
              <w:t>s</w:t>
            </w:r>
          </w:p>
        </w:tc>
        <w:tc>
          <w:tcPr>
            <w:tcW w:w="3223" w:type="pct"/>
            <w:shd w:val="clear" w:color="auto" w:fill="auto"/>
          </w:tcPr>
          <w:p w:rsidR="008032B8" w:rsidRPr="002B5C3B" w:rsidRDefault="008032B8" w:rsidP="00283468">
            <w:pPr>
              <w:spacing w:after="0"/>
              <w:rPr>
                <w:rFonts w:ascii="Arial" w:hAnsi="Arial" w:cs="Arial"/>
                <w:color w:val="auto"/>
                <w:sz w:val="12"/>
                <w:szCs w:val="12"/>
              </w:rPr>
            </w:pPr>
          </w:p>
          <w:p w:rsidR="00B81F8C" w:rsidRPr="002B5C3B" w:rsidRDefault="0067189E" w:rsidP="00283468">
            <w:pPr>
              <w:spacing w:after="0"/>
              <w:rPr>
                <w:rFonts w:ascii="Arial" w:hAnsi="Arial" w:cs="Arial"/>
                <w:color w:val="auto"/>
                <w:sz w:val="24"/>
                <w:szCs w:val="24"/>
              </w:rPr>
            </w:pPr>
            <w:r w:rsidRPr="002B5C3B">
              <w:rPr>
                <w:rFonts w:ascii="Arial" w:hAnsi="Arial" w:cs="Arial"/>
                <w:color w:val="auto"/>
                <w:sz w:val="24"/>
                <w:szCs w:val="24"/>
              </w:rPr>
              <w:t>YY</w:t>
            </w:r>
            <w:r w:rsidR="009D52DC">
              <w:rPr>
                <w:rFonts w:ascii="Arial" w:hAnsi="Arial" w:cs="Arial"/>
                <w:color w:val="auto"/>
                <w:sz w:val="24"/>
                <w:szCs w:val="24"/>
              </w:rPr>
              <w:t>Y</w:t>
            </w:r>
            <w:r w:rsidRPr="002B5C3B">
              <w:rPr>
                <w:rFonts w:ascii="Arial" w:hAnsi="Arial" w:cs="Arial"/>
                <w:color w:val="auto"/>
                <w:sz w:val="24"/>
                <w:szCs w:val="24"/>
              </w:rPr>
              <w:t xml:space="preserve"> provider</w:t>
            </w:r>
            <w:r w:rsidR="002B4C0D" w:rsidRPr="002B5C3B">
              <w:rPr>
                <w:rFonts w:ascii="Arial" w:hAnsi="Arial" w:cs="Arial"/>
                <w:color w:val="auto"/>
                <w:sz w:val="24"/>
                <w:szCs w:val="24"/>
              </w:rPr>
              <w:t>(s)</w:t>
            </w:r>
            <w:r w:rsidRPr="002B5C3B">
              <w:rPr>
                <w:rFonts w:ascii="Arial" w:hAnsi="Arial" w:cs="Arial"/>
                <w:color w:val="auto"/>
                <w:sz w:val="24"/>
                <w:szCs w:val="24"/>
              </w:rPr>
              <w:t xml:space="preserve"> </w:t>
            </w:r>
          </w:p>
          <w:p w:rsidR="008032B8" w:rsidRPr="002B5C3B" w:rsidRDefault="008032B8" w:rsidP="00283468">
            <w:pPr>
              <w:spacing w:after="0"/>
              <w:rPr>
                <w:rFonts w:ascii="Arial" w:hAnsi="Arial" w:cs="Arial"/>
                <w:color w:val="auto"/>
                <w:sz w:val="12"/>
                <w:szCs w:val="12"/>
              </w:rPr>
            </w:pPr>
          </w:p>
        </w:tc>
      </w:tr>
      <w:tr w:rsidR="00B81F8C" w:rsidRPr="002B5C3B" w:rsidTr="00F77D02">
        <w:trPr>
          <w:gridBefore w:val="1"/>
          <w:wBefore w:w="18" w:type="pct"/>
        </w:trPr>
        <w:tc>
          <w:tcPr>
            <w:tcW w:w="1758" w:type="pct"/>
            <w:shd w:val="clear" w:color="auto" w:fill="FFFFFF" w:themeFill="background1"/>
            <w:vAlign w:val="center"/>
          </w:tcPr>
          <w:p w:rsidR="00B81F8C" w:rsidRPr="002B5C3B" w:rsidRDefault="009D52DC" w:rsidP="005F6CF9">
            <w:pPr>
              <w:spacing w:after="0" w:line="360" w:lineRule="auto"/>
              <w:rPr>
                <w:rFonts w:ascii="Arial" w:hAnsi="Arial" w:cs="Arial"/>
                <w:b/>
                <w:color w:val="auto"/>
                <w:sz w:val="24"/>
                <w:szCs w:val="24"/>
              </w:rPr>
            </w:pPr>
            <w:r>
              <w:rPr>
                <w:rFonts w:ascii="Arial" w:hAnsi="Arial" w:cs="Arial"/>
                <w:b/>
                <w:color w:val="auto"/>
                <w:sz w:val="24"/>
                <w:szCs w:val="24"/>
              </w:rPr>
              <w:t>Issue date</w:t>
            </w:r>
          </w:p>
        </w:tc>
        <w:tc>
          <w:tcPr>
            <w:tcW w:w="3223" w:type="pct"/>
            <w:shd w:val="clear" w:color="auto" w:fill="auto"/>
          </w:tcPr>
          <w:p w:rsidR="00B81F8C" w:rsidRPr="002B5C3B" w:rsidRDefault="00B81F8C" w:rsidP="00283468">
            <w:pPr>
              <w:spacing w:after="0"/>
              <w:rPr>
                <w:rFonts w:ascii="Arial" w:hAnsi="Arial" w:cs="Arial"/>
                <w:color w:val="auto"/>
                <w:sz w:val="12"/>
                <w:szCs w:val="12"/>
              </w:rPr>
            </w:pPr>
          </w:p>
          <w:p w:rsidR="008032B8" w:rsidRPr="002B5C3B" w:rsidRDefault="008032B8" w:rsidP="00283468">
            <w:pPr>
              <w:spacing w:after="0"/>
              <w:rPr>
                <w:rFonts w:ascii="Arial" w:hAnsi="Arial" w:cs="Arial"/>
                <w:color w:val="auto"/>
                <w:sz w:val="24"/>
                <w:szCs w:val="24"/>
              </w:rPr>
            </w:pPr>
            <w:r w:rsidRPr="002B5C3B">
              <w:rPr>
                <w:rFonts w:ascii="Arial" w:hAnsi="Arial" w:cs="Arial"/>
                <w:color w:val="auto"/>
                <w:sz w:val="24"/>
                <w:szCs w:val="24"/>
              </w:rPr>
              <w:t>Day/Month/Year</w:t>
            </w:r>
          </w:p>
          <w:p w:rsidR="008032B8" w:rsidRPr="002B5C3B" w:rsidRDefault="008032B8" w:rsidP="00283468">
            <w:pPr>
              <w:spacing w:after="0"/>
              <w:rPr>
                <w:rFonts w:ascii="Arial" w:hAnsi="Arial" w:cs="Arial"/>
                <w:color w:val="auto"/>
                <w:sz w:val="12"/>
                <w:szCs w:val="12"/>
              </w:rPr>
            </w:pPr>
          </w:p>
        </w:tc>
      </w:tr>
      <w:tr w:rsidR="00B81F8C" w:rsidRPr="002B5C3B" w:rsidTr="00F77D02">
        <w:trPr>
          <w:gridBefore w:val="1"/>
          <w:wBefore w:w="18" w:type="pct"/>
        </w:trPr>
        <w:tc>
          <w:tcPr>
            <w:tcW w:w="1758" w:type="pct"/>
            <w:shd w:val="clear" w:color="auto" w:fill="FFFFFF" w:themeFill="background1"/>
            <w:vAlign w:val="center"/>
          </w:tcPr>
          <w:p w:rsidR="00B81F8C" w:rsidRPr="002B5C3B" w:rsidRDefault="00FA30D4" w:rsidP="005F6CF9">
            <w:pPr>
              <w:spacing w:after="0" w:line="360" w:lineRule="auto"/>
              <w:rPr>
                <w:rFonts w:ascii="Arial" w:hAnsi="Arial" w:cs="Arial"/>
                <w:b/>
                <w:color w:val="auto"/>
                <w:sz w:val="24"/>
                <w:szCs w:val="24"/>
              </w:rPr>
            </w:pPr>
            <w:r w:rsidRPr="002B5C3B">
              <w:rPr>
                <w:rFonts w:ascii="Arial" w:hAnsi="Arial" w:cs="Arial"/>
                <w:b/>
                <w:color w:val="auto"/>
                <w:sz w:val="24"/>
                <w:szCs w:val="24"/>
              </w:rPr>
              <w:t>Date of r</w:t>
            </w:r>
            <w:r w:rsidR="00B81F8C" w:rsidRPr="002B5C3B">
              <w:rPr>
                <w:rFonts w:ascii="Arial" w:hAnsi="Arial" w:cs="Arial"/>
                <w:b/>
                <w:color w:val="auto"/>
                <w:sz w:val="24"/>
                <w:szCs w:val="24"/>
              </w:rPr>
              <w:t>eview</w:t>
            </w:r>
          </w:p>
        </w:tc>
        <w:tc>
          <w:tcPr>
            <w:tcW w:w="3223" w:type="pct"/>
            <w:shd w:val="clear" w:color="auto" w:fill="auto"/>
          </w:tcPr>
          <w:p w:rsidR="008032B8" w:rsidRPr="002B5C3B" w:rsidRDefault="008032B8" w:rsidP="00283468">
            <w:pPr>
              <w:spacing w:after="0"/>
              <w:rPr>
                <w:rFonts w:ascii="Arial" w:hAnsi="Arial" w:cs="Arial"/>
                <w:color w:val="auto"/>
                <w:sz w:val="12"/>
                <w:szCs w:val="12"/>
              </w:rPr>
            </w:pPr>
          </w:p>
          <w:p w:rsidR="00B81F8C" w:rsidRPr="002B5C3B" w:rsidRDefault="0092142A" w:rsidP="00EF3FD6">
            <w:pPr>
              <w:spacing w:after="0"/>
              <w:rPr>
                <w:rFonts w:ascii="Arial" w:hAnsi="Arial" w:cs="Arial"/>
                <w:color w:val="auto"/>
                <w:sz w:val="24"/>
                <w:szCs w:val="24"/>
              </w:rPr>
            </w:pPr>
            <w:r w:rsidRPr="002B5C3B">
              <w:rPr>
                <w:rFonts w:ascii="Arial" w:hAnsi="Arial" w:cs="Arial"/>
                <w:color w:val="auto"/>
                <w:sz w:val="24"/>
                <w:szCs w:val="24"/>
              </w:rPr>
              <w:t>A</w:t>
            </w:r>
            <w:r w:rsidR="0067189E" w:rsidRPr="002B5C3B">
              <w:rPr>
                <w:rFonts w:ascii="Arial" w:hAnsi="Arial" w:cs="Arial"/>
                <w:color w:val="auto"/>
                <w:sz w:val="24"/>
                <w:szCs w:val="24"/>
              </w:rPr>
              <w:t>nnually</w:t>
            </w:r>
            <w:r w:rsidR="002B47FD" w:rsidRPr="002B5C3B">
              <w:rPr>
                <w:rFonts w:ascii="Arial" w:hAnsi="Arial" w:cs="Arial"/>
                <w:color w:val="auto"/>
                <w:sz w:val="24"/>
                <w:szCs w:val="24"/>
              </w:rPr>
              <w:t xml:space="preserve"> Day/Month/Year</w:t>
            </w:r>
          </w:p>
          <w:p w:rsidR="008032B8" w:rsidRPr="002B5C3B" w:rsidRDefault="008032B8" w:rsidP="00283468">
            <w:pPr>
              <w:spacing w:after="0"/>
              <w:rPr>
                <w:rFonts w:ascii="Arial" w:hAnsi="Arial" w:cs="Arial"/>
                <w:color w:val="auto"/>
                <w:sz w:val="12"/>
                <w:szCs w:val="12"/>
              </w:rPr>
            </w:pPr>
          </w:p>
        </w:tc>
      </w:tr>
      <w:tr w:rsidR="00B81F8C" w:rsidRPr="002B5C3B" w:rsidTr="00F77D02">
        <w:tc>
          <w:tcPr>
            <w:tcW w:w="5000" w:type="pct"/>
            <w:gridSpan w:val="3"/>
            <w:shd w:val="clear" w:color="auto" w:fill="FFFFFF" w:themeFill="background1"/>
          </w:tcPr>
          <w:p w:rsidR="00B81F8C" w:rsidRPr="002B5C3B" w:rsidRDefault="00EA00FE" w:rsidP="00283468">
            <w:pPr>
              <w:spacing w:after="0" w:line="276" w:lineRule="auto"/>
              <w:rPr>
                <w:rFonts w:ascii="Arial" w:hAnsi="Arial" w:cs="Arial"/>
                <w:b/>
                <w:color w:val="auto"/>
                <w:sz w:val="24"/>
                <w:szCs w:val="24"/>
              </w:rPr>
            </w:pPr>
            <w:r w:rsidRPr="002B5C3B">
              <w:rPr>
                <w:rFonts w:ascii="Arial" w:hAnsi="Arial" w:cs="Arial"/>
                <w:b/>
                <w:color w:val="auto"/>
                <w:sz w:val="24"/>
                <w:szCs w:val="24"/>
              </w:rPr>
              <w:t>Background</w:t>
            </w:r>
          </w:p>
        </w:tc>
      </w:tr>
      <w:tr w:rsidR="00B81F8C" w:rsidRPr="002B5C3B" w:rsidTr="00F77D02">
        <w:tc>
          <w:tcPr>
            <w:tcW w:w="5000" w:type="pct"/>
            <w:gridSpan w:val="3"/>
            <w:shd w:val="clear" w:color="auto" w:fill="auto"/>
          </w:tcPr>
          <w:p w:rsidR="005F6CF9" w:rsidRPr="002B5C3B" w:rsidRDefault="005F6CF9" w:rsidP="005F6CF9">
            <w:pPr>
              <w:pStyle w:val="Default"/>
              <w:spacing w:before="120"/>
            </w:pPr>
            <w:r w:rsidRPr="002B5C3B">
              <w:t xml:space="preserve">Tuberculosis (TB) is an infectious disease that is treatable and curable but </w:t>
            </w:r>
            <w:r>
              <w:t>continues to be</w:t>
            </w:r>
            <w:r w:rsidRPr="002B5C3B">
              <w:t xml:space="preserve"> a major public health issue. There has been a year-on-year decline in the incidence of TB in England since 2011, down to </w:t>
            </w:r>
            <w:r w:rsidR="00727A95">
              <w:rPr>
                <w:color w:val="auto"/>
              </w:rPr>
              <w:t>9</w:t>
            </w:r>
            <w:r w:rsidRPr="00581753">
              <w:rPr>
                <w:color w:val="auto"/>
              </w:rPr>
              <w:t>.</w:t>
            </w:r>
            <w:r>
              <w:rPr>
                <w:color w:val="auto"/>
              </w:rPr>
              <w:t>2</w:t>
            </w:r>
            <w:r w:rsidRPr="00581753">
              <w:rPr>
                <w:color w:val="auto"/>
              </w:rPr>
              <w:t xml:space="preserve"> per 100,000 </w:t>
            </w:r>
            <w:r>
              <w:rPr>
                <w:color w:val="auto"/>
              </w:rPr>
              <w:t xml:space="preserve">population </w:t>
            </w:r>
            <w:r w:rsidRPr="00581753">
              <w:rPr>
                <w:color w:val="auto"/>
              </w:rPr>
              <w:t>(5,</w:t>
            </w:r>
            <w:r w:rsidR="00727A95">
              <w:rPr>
                <w:color w:val="auto"/>
              </w:rPr>
              <w:t>102</w:t>
            </w:r>
            <w:r w:rsidRPr="00581753">
              <w:rPr>
                <w:color w:val="auto"/>
              </w:rPr>
              <w:t xml:space="preserve"> cases) in 201</w:t>
            </w:r>
            <w:r w:rsidR="00727A95">
              <w:rPr>
                <w:color w:val="auto"/>
              </w:rPr>
              <w:t>7</w:t>
            </w:r>
            <w:r w:rsidRPr="002B5C3B">
              <w:t xml:space="preserve">, a reduction of </w:t>
            </w:r>
            <w:r w:rsidR="00727A95">
              <w:t>40%</w:t>
            </w:r>
            <w:r w:rsidRPr="002B5C3B">
              <w:t xml:space="preserve"> since the peak of 15.6 per 100,000 (8,280 cases) in 2011</w:t>
            </w:r>
            <w:r w:rsidR="00727A95">
              <w:t>, the lowest recorded rate</w:t>
            </w:r>
            <w:r w:rsidRPr="002B5C3B">
              <w:t xml:space="preserve">. There are considerable differences in </w:t>
            </w:r>
            <w:r w:rsidR="00F77D02">
              <w:t xml:space="preserve">the </w:t>
            </w:r>
            <w:r w:rsidRPr="002B5C3B">
              <w:t xml:space="preserve">incidence and numbers of TB </w:t>
            </w:r>
            <w:r w:rsidR="00F77D02">
              <w:t xml:space="preserve">and patient outcomes </w:t>
            </w:r>
            <w:r w:rsidRPr="002B5C3B">
              <w:t>between Clinical Commissioning Group</w:t>
            </w:r>
            <w:r>
              <w:t>s</w:t>
            </w:r>
            <w:r w:rsidRPr="002B5C3B">
              <w:t xml:space="preserve"> (CCGs) across England.</w:t>
            </w:r>
          </w:p>
          <w:p w:rsidR="006E1822" w:rsidRPr="002B5C3B" w:rsidRDefault="006E1822" w:rsidP="006E1822">
            <w:pPr>
              <w:pStyle w:val="ListNumber"/>
              <w:numPr>
                <w:ilvl w:val="0"/>
                <w:numId w:val="0"/>
              </w:numPr>
              <w:spacing w:line="240" w:lineRule="auto"/>
              <w:rPr>
                <w:rFonts w:cs="Arial"/>
                <w:color w:val="auto"/>
                <w:sz w:val="24"/>
                <w:szCs w:val="24"/>
              </w:rPr>
            </w:pPr>
          </w:p>
          <w:p w:rsidR="009D52DC" w:rsidRDefault="00E80CC3" w:rsidP="009D52DC">
            <w:pPr>
              <w:pStyle w:val="Default"/>
            </w:pPr>
            <w:r w:rsidRPr="002B5C3B">
              <w:t xml:space="preserve">This service specification supports implementation of the </w:t>
            </w:r>
            <w:hyperlink r:id="rId8" w:history="1">
              <w:r w:rsidR="00EA00FE" w:rsidRPr="002B5C3B">
                <w:rPr>
                  <w:rStyle w:val="Hyperlink"/>
                </w:rPr>
                <w:t xml:space="preserve">Collaborative </w:t>
              </w:r>
              <w:r w:rsidR="00EA00FE" w:rsidRPr="002B5C3B">
                <w:rPr>
                  <w:rStyle w:val="Hyperlink"/>
                  <w:color w:val="0000FF"/>
                </w:rPr>
                <w:t>Tuberculosis</w:t>
              </w:r>
              <w:r w:rsidR="00EA00FE" w:rsidRPr="002B5C3B">
                <w:rPr>
                  <w:rStyle w:val="Hyperlink"/>
                </w:rPr>
                <w:t xml:space="preserve"> Strategy for England: 2015 to 2020</w:t>
              </w:r>
            </w:hyperlink>
            <w:r w:rsidRPr="002B5C3B">
              <w:t xml:space="preserve"> </w:t>
            </w:r>
            <w:r w:rsidRPr="00E80CC3">
              <w:t>to achieve year-on-year reductions in TB incidence, and the eventual elimination of TB as a public health problem in England</w:t>
            </w:r>
            <w:r w:rsidR="00B26C69" w:rsidRPr="002B5C3B">
              <w:t xml:space="preserve"> and use of </w:t>
            </w:r>
            <w:hyperlink r:id="rId9" w:history="1">
              <w:r w:rsidR="00B26C69" w:rsidRPr="002B5C3B">
                <w:rPr>
                  <w:rStyle w:val="Hyperlink"/>
                </w:rPr>
                <w:t>NICE guidance, NG33, Tuberculosis, 2016</w:t>
              </w:r>
            </w:hyperlink>
            <w:r w:rsidRPr="002B5C3B">
              <w:t xml:space="preserve">. </w:t>
            </w:r>
          </w:p>
          <w:p w:rsidR="005F6CF9" w:rsidRDefault="005F6CF9" w:rsidP="009D52DC">
            <w:pPr>
              <w:pStyle w:val="Default"/>
            </w:pPr>
          </w:p>
          <w:p w:rsidR="005F6CF9" w:rsidRDefault="005F6CF9" w:rsidP="005F6CF9">
            <w:pPr>
              <w:pStyle w:val="Default"/>
            </w:pPr>
            <w:r>
              <w:t xml:space="preserve">Commissioners should be aware that relevant aspects of this service specification can be used to develop local service standards and key performance indicators in </w:t>
            </w:r>
            <w:r w:rsidR="00F77D02">
              <w:t>conjunction with</w:t>
            </w:r>
            <w:r>
              <w:t xml:space="preserve"> the national TB </w:t>
            </w:r>
            <w:r w:rsidR="00073D91">
              <w:t>clinical policy</w:t>
            </w:r>
            <w:r>
              <w:t>.</w:t>
            </w:r>
          </w:p>
          <w:p w:rsidR="00727A95" w:rsidRDefault="00727A95" w:rsidP="005F6CF9">
            <w:pPr>
              <w:pStyle w:val="Default"/>
            </w:pPr>
          </w:p>
          <w:p w:rsidR="001B557D" w:rsidRPr="009D52DC" w:rsidRDefault="0000401B" w:rsidP="009D52DC">
            <w:pPr>
              <w:pStyle w:val="Default"/>
              <w:rPr>
                <w:color w:val="009966"/>
                <w:sz w:val="12"/>
                <w:szCs w:val="12"/>
              </w:rPr>
            </w:pPr>
            <w:r w:rsidRPr="009D52DC">
              <w:rPr>
                <w:sz w:val="12"/>
                <w:szCs w:val="12"/>
              </w:rPr>
              <w:t xml:space="preserve"> </w:t>
            </w:r>
          </w:p>
        </w:tc>
      </w:tr>
      <w:tr w:rsidR="00E80CC3" w:rsidRPr="002B5C3B" w:rsidTr="00F77D02">
        <w:tc>
          <w:tcPr>
            <w:tcW w:w="5000" w:type="pct"/>
            <w:gridSpan w:val="3"/>
            <w:shd w:val="clear" w:color="auto" w:fill="FFFFFF" w:themeFill="background1"/>
          </w:tcPr>
          <w:p w:rsidR="00B81F8C" w:rsidRPr="002B5C3B" w:rsidRDefault="009D52DC" w:rsidP="00283468">
            <w:pPr>
              <w:spacing w:after="0" w:line="276" w:lineRule="auto"/>
              <w:rPr>
                <w:rFonts w:ascii="Arial" w:hAnsi="Arial" w:cs="Arial"/>
                <w:b/>
                <w:color w:val="auto"/>
                <w:sz w:val="24"/>
                <w:szCs w:val="24"/>
              </w:rPr>
            </w:pPr>
            <w:r>
              <w:rPr>
                <w:rFonts w:ascii="Arial" w:hAnsi="Arial" w:cs="Arial"/>
                <w:b/>
                <w:color w:val="auto"/>
                <w:sz w:val="24"/>
                <w:szCs w:val="24"/>
              </w:rPr>
              <w:lastRenderedPageBreak/>
              <w:t>Standards and o</w:t>
            </w:r>
            <w:r w:rsidR="00B81F8C" w:rsidRPr="002B5C3B">
              <w:rPr>
                <w:rFonts w:ascii="Arial" w:hAnsi="Arial" w:cs="Arial"/>
                <w:b/>
                <w:color w:val="auto"/>
                <w:sz w:val="24"/>
                <w:szCs w:val="24"/>
              </w:rPr>
              <w:t>utcomes</w:t>
            </w:r>
          </w:p>
        </w:tc>
      </w:tr>
      <w:tr w:rsidR="00B81F8C" w:rsidRPr="002B5C3B" w:rsidTr="00F77D02">
        <w:tc>
          <w:tcPr>
            <w:tcW w:w="5000" w:type="pct"/>
            <w:gridSpan w:val="3"/>
            <w:shd w:val="clear" w:color="auto" w:fill="FFFFFF" w:themeFill="background1"/>
          </w:tcPr>
          <w:p w:rsidR="004F5F82" w:rsidRDefault="009D52DC" w:rsidP="00E80CC3">
            <w:pPr>
              <w:spacing w:before="120" w:after="0"/>
              <w:rPr>
                <w:rFonts w:ascii="Arial" w:hAnsi="Arial" w:cs="Arial"/>
                <w:color w:val="auto"/>
                <w:sz w:val="24"/>
                <w:szCs w:val="24"/>
              </w:rPr>
            </w:pPr>
            <w:r>
              <w:rPr>
                <w:rFonts w:ascii="Arial" w:hAnsi="Arial" w:cs="Arial"/>
                <w:color w:val="auto"/>
                <w:sz w:val="24"/>
                <w:szCs w:val="24"/>
              </w:rPr>
              <w:t>C</w:t>
            </w:r>
            <w:r w:rsidR="004F5F82" w:rsidRPr="0082494A">
              <w:rPr>
                <w:rFonts w:ascii="Arial" w:hAnsi="Arial" w:cs="Arial"/>
                <w:color w:val="auto"/>
                <w:sz w:val="24"/>
                <w:szCs w:val="24"/>
              </w:rPr>
              <w:t xml:space="preserve">ommissioners </w:t>
            </w:r>
            <w:r>
              <w:rPr>
                <w:rFonts w:ascii="Arial" w:hAnsi="Arial" w:cs="Arial"/>
                <w:color w:val="auto"/>
                <w:sz w:val="24"/>
                <w:szCs w:val="24"/>
              </w:rPr>
              <w:t>will work with p</w:t>
            </w:r>
            <w:r w:rsidRPr="0082494A">
              <w:rPr>
                <w:rFonts w:ascii="Arial" w:hAnsi="Arial" w:cs="Arial"/>
                <w:color w:val="auto"/>
                <w:sz w:val="24"/>
                <w:szCs w:val="24"/>
              </w:rPr>
              <w:t xml:space="preserve">roviders </w:t>
            </w:r>
            <w:r>
              <w:rPr>
                <w:rFonts w:ascii="Arial" w:hAnsi="Arial" w:cs="Arial"/>
                <w:color w:val="auto"/>
                <w:sz w:val="24"/>
                <w:szCs w:val="24"/>
              </w:rPr>
              <w:t xml:space="preserve">to </w:t>
            </w:r>
            <w:r w:rsidRPr="0082494A">
              <w:rPr>
                <w:rFonts w:ascii="Arial" w:hAnsi="Arial" w:cs="Arial"/>
                <w:color w:val="auto"/>
                <w:sz w:val="24"/>
                <w:szCs w:val="24"/>
              </w:rPr>
              <w:t xml:space="preserve">contribute to national and locally defined outcomes </w:t>
            </w:r>
            <w:r w:rsidR="004F5F82" w:rsidRPr="0082494A">
              <w:rPr>
                <w:rFonts w:ascii="Arial" w:hAnsi="Arial" w:cs="Arial"/>
                <w:color w:val="auto"/>
                <w:sz w:val="24"/>
                <w:szCs w:val="24"/>
              </w:rPr>
              <w:t xml:space="preserve">to provide high quality TB services that best meet the needs of </w:t>
            </w:r>
            <w:r w:rsidR="00F55EAA" w:rsidRPr="0082494A">
              <w:rPr>
                <w:rFonts w:ascii="Arial" w:hAnsi="Arial" w:cs="Arial"/>
                <w:color w:val="auto"/>
                <w:sz w:val="24"/>
                <w:szCs w:val="24"/>
              </w:rPr>
              <w:t xml:space="preserve">the local population and </w:t>
            </w:r>
            <w:r w:rsidR="004F5F82" w:rsidRPr="0082494A">
              <w:rPr>
                <w:rFonts w:ascii="Arial" w:hAnsi="Arial" w:cs="Arial"/>
                <w:color w:val="auto"/>
                <w:sz w:val="24"/>
                <w:szCs w:val="24"/>
              </w:rPr>
              <w:t>patients.</w:t>
            </w:r>
          </w:p>
          <w:p w:rsidR="001760B5" w:rsidRPr="001760B5" w:rsidRDefault="001760B5" w:rsidP="00E80CC3">
            <w:pPr>
              <w:spacing w:before="120" w:after="0"/>
              <w:rPr>
                <w:rFonts w:ascii="Arial" w:hAnsi="Arial" w:cs="Arial"/>
                <w:color w:val="auto"/>
                <w:sz w:val="24"/>
                <w:szCs w:val="24"/>
              </w:rPr>
            </w:pPr>
            <w:r>
              <w:rPr>
                <w:rFonts w:ascii="Arial" w:hAnsi="Arial" w:cs="Arial"/>
                <w:color w:val="000000" w:themeColor="text1"/>
                <w:sz w:val="24"/>
              </w:rPr>
              <w:t>Providers of health care for people affected by TB should be aware of national and local quality standards, key performance indicators and relevant service specifications and clinical policies that relate to patient care and service delivery.</w:t>
            </w:r>
          </w:p>
          <w:p w:rsidR="00987C5E" w:rsidRPr="0082494A" w:rsidRDefault="00F26CED" w:rsidP="0082494A">
            <w:pPr>
              <w:pStyle w:val="ListParagraph"/>
              <w:spacing w:before="120" w:after="120"/>
              <w:ind w:left="0"/>
              <w:rPr>
                <w:rFonts w:ascii="Arial" w:hAnsi="Arial" w:cs="Arial"/>
                <w:b/>
                <w:color w:val="auto"/>
                <w:sz w:val="24"/>
              </w:rPr>
            </w:pPr>
            <w:r w:rsidRPr="002B5C3B">
              <w:rPr>
                <w:rFonts w:ascii="Arial" w:hAnsi="Arial" w:cs="Arial"/>
                <w:b/>
                <w:color w:val="auto"/>
                <w:sz w:val="24"/>
              </w:rPr>
              <w:t>E</w:t>
            </w:r>
            <w:r w:rsidR="00987C5E" w:rsidRPr="002B5C3B">
              <w:rPr>
                <w:rFonts w:ascii="Arial" w:hAnsi="Arial" w:cs="Arial"/>
                <w:b/>
                <w:color w:val="auto"/>
                <w:sz w:val="24"/>
              </w:rPr>
              <w:t>xpected</w:t>
            </w:r>
            <w:r w:rsidR="009D52DC">
              <w:rPr>
                <w:rFonts w:ascii="Arial" w:hAnsi="Arial" w:cs="Arial"/>
                <w:b/>
                <w:color w:val="auto"/>
                <w:sz w:val="24"/>
              </w:rPr>
              <w:t xml:space="preserve"> outcomes</w:t>
            </w:r>
          </w:p>
          <w:p w:rsidR="001760B5" w:rsidRPr="0082494A" w:rsidRDefault="001760B5" w:rsidP="001760B5">
            <w:pPr>
              <w:pStyle w:val="ListParagraph"/>
              <w:numPr>
                <w:ilvl w:val="0"/>
                <w:numId w:val="13"/>
              </w:numPr>
              <w:spacing w:before="120" w:after="120"/>
              <w:ind w:left="714" w:hanging="357"/>
              <w:rPr>
                <w:rFonts w:ascii="Arial" w:hAnsi="Arial" w:cs="Arial"/>
                <w:color w:val="auto"/>
                <w:sz w:val="24"/>
              </w:rPr>
            </w:pPr>
            <w:r w:rsidRPr="0082494A">
              <w:rPr>
                <w:rFonts w:ascii="Arial" w:hAnsi="Arial" w:cs="Arial"/>
                <w:color w:val="auto"/>
                <w:sz w:val="24"/>
              </w:rPr>
              <w:t>increased awareness of TB across statutory and non-statutory health and non-health care providers and communities</w:t>
            </w:r>
          </w:p>
          <w:p w:rsidR="001760B5" w:rsidRPr="0082494A" w:rsidRDefault="001760B5" w:rsidP="001760B5">
            <w:pPr>
              <w:pStyle w:val="ListParagraph"/>
              <w:numPr>
                <w:ilvl w:val="0"/>
                <w:numId w:val="13"/>
              </w:numPr>
              <w:spacing w:before="120" w:after="120"/>
              <w:ind w:left="714" w:hanging="357"/>
              <w:rPr>
                <w:rFonts w:ascii="Arial" w:hAnsi="Arial" w:cs="Arial"/>
                <w:color w:val="auto"/>
                <w:sz w:val="24"/>
              </w:rPr>
            </w:pPr>
            <w:r w:rsidRPr="0082494A">
              <w:rPr>
                <w:rFonts w:ascii="Arial" w:hAnsi="Arial" w:cs="Arial"/>
                <w:color w:val="auto"/>
                <w:sz w:val="24"/>
              </w:rPr>
              <w:t>a reduction in the</w:t>
            </w:r>
            <w:r>
              <w:rPr>
                <w:rFonts w:ascii="Arial" w:hAnsi="Arial" w:cs="Arial"/>
                <w:color w:val="auto"/>
                <w:sz w:val="24"/>
              </w:rPr>
              <w:t xml:space="preserve"> local</w:t>
            </w:r>
            <w:r w:rsidRPr="0082494A">
              <w:rPr>
                <w:rFonts w:ascii="Arial" w:hAnsi="Arial" w:cs="Arial"/>
                <w:color w:val="auto"/>
                <w:sz w:val="24"/>
              </w:rPr>
              <w:t xml:space="preserve"> incidence of TB</w:t>
            </w:r>
          </w:p>
          <w:p w:rsidR="001760B5" w:rsidRPr="0082494A" w:rsidRDefault="001760B5" w:rsidP="001760B5">
            <w:pPr>
              <w:pStyle w:val="ListParagraph"/>
              <w:numPr>
                <w:ilvl w:val="0"/>
                <w:numId w:val="13"/>
              </w:numPr>
              <w:spacing w:before="120" w:after="120"/>
              <w:ind w:left="714" w:hanging="357"/>
              <w:rPr>
                <w:rFonts w:ascii="Arial" w:hAnsi="Arial" w:cs="Arial"/>
                <w:color w:val="auto"/>
                <w:sz w:val="24"/>
              </w:rPr>
            </w:pPr>
            <w:r>
              <w:rPr>
                <w:rFonts w:ascii="Arial" w:hAnsi="Arial" w:cs="Arial"/>
                <w:color w:val="auto"/>
                <w:sz w:val="24"/>
              </w:rPr>
              <w:t>achiev</w:t>
            </w:r>
            <w:r w:rsidRPr="0082494A">
              <w:rPr>
                <w:rFonts w:ascii="Arial" w:hAnsi="Arial" w:cs="Arial"/>
                <w:color w:val="auto"/>
                <w:sz w:val="24"/>
              </w:rPr>
              <w:t>e</w:t>
            </w:r>
            <w:r>
              <w:rPr>
                <w:rFonts w:ascii="Arial" w:hAnsi="Arial" w:cs="Arial"/>
                <w:color w:val="auto"/>
                <w:sz w:val="24"/>
              </w:rPr>
              <w:t xml:space="preserve"> the target of 85%</w:t>
            </w:r>
            <w:r w:rsidRPr="0082494A">
              <w:rPr>
                <w:rFonts w:ascii="Arial" w:hAnsi="Arial" w:cs="Arial"/>
                <w:color w:val="auto"/>
                <w:sz w:val="24"/>
              </w:rPr>
              <w:t xml:space="preserve"> TB treatment completion rates aim</w:t>
            </w:r>
            <w:r>
              <w:rPr>
                <w:rFonts w:ascii="Arial" w:hAnsi="Arial" w:cs="Arial"/>
                <w:color w:val="auto"/>
                <w:sz w:val="24"/>
              </w:rPr>
              <w:t>ing</w:t>
            </w:r>
            <w:r w:rsidRPr="0082494A">
              <w:rPr>
                <w:rFonts w:ascii="Arial" w:hAnsi="Arial" w:cs="Arial"/>
                <w:color w:val="auto"/>
                <w:sz w:val="24"/>
              </w:rPr>
              <w:t xml:space="preserve"> to achieve over 90%</w:t>
            </w:r>
            <w:r>
              <w:rPr>
                <w:rFonts w:ascii="Arial" w:hAnsi="Arial" w:cs="Arial"/>
                <w:color w:val="auto"/>
                <w:sz w:val="24"/>
              </w:rPr>
              <w:t xml:space="preserve"> </w:t>
            </w:r>
          </w:p>
          <w:p w:rsidR="001760B5" w:rsidRPr="0082494A" w:rsidRDefault="001760B5" w:rsidP="001760B5">
            <w:pPr>
              <w:pStyle w:val="ListParagraph"/>
              <w:numPr>
                <w:ilvl w:val="0"/>
                <w:numId w:val="13"/>
              </w:numPr>
              <w:spacing w:before="120" w:after="120"/>
              <w:ind w:left="714" w:hanging="357"/>
              <w:rPr>
                <w:rFonts w:ascii="Arial" w:hAnsi="Arial" w:cs="Arial"/>
                <w:color w:val="auto"/>
                <w:sz w:val="24"/>
              </w:rPr>
            </w:pPr>
            <w:r w:rsidRPr="0082494A">
              <w:rPr>
                <w:rFonts w:ascii="Arial" w:hAnsi="Arial" w:cs="Arial"/>
                <w:color w:val="auto"/>
                <w:sz w:val="24"/>
              </w:rPr>
              <w:t>a reduction in the incidence of drug resistan</w:t>
            </w:r>
            <w:r>
              <w:rPr>
                <w:rFonts w:ascii="Arial" w:hAnsi="Arial" w:cs="Arial"/>
                <w:color w:val="auto"/>
                <w:sz w:val="24"/>
              </w:rPr>
              <w:t>t TB</w:t>
            </w:r>
          </w:p>
          <w:p w:rsidR="001760B5" w:rsidRPr="0082494A" w:rsidRDefault="001760B5" w:rsidP="001760B5">
            <w:pPr>
              <w:pStyle w:val="ListParagraph"/>
              <w:numPr>
                <w:ilvl w:val="0"/>
                <w:numId w:val="13"/>
              </w:numPr>
              <w:spacing w:before="120" w:after="120"/>
              <w:ind w:left="714" w:hanging="357"/>
              <w:rPr>
                <w:rFonts w:ascii="Arial" w:hAnsi="Arial" w:cs="Arial"/>
                <w:color w:val="auto"/>
                <w:sz w:val="24"/>
              </w:rPr>
            </w:pPr>
            <w:r w:rsidRPr="0082494A">
              <w:rPr>
                <w:rFonts w:ascii="Arial" w:hAnsi="Arial" w:cs="Arial"/>
                <w:color w:val="auto"/>
                <w:sz w:val="24"/>
              </w:rPr>
              <w:t xml:space="preserve">increase in numbers of suspected pulmonary (infectious) TB patients assessed by </w:t>
            </w:r>
            <w:r>
              <w:rPr>
                <w:rFonts w:ascii="Arial" w:hAnsi="Arial" w:cs="Arial"/>
                <w:color w:val="auto"/>
                <w:sz w:val="24"/>
              </w:rPr>
              <w:t>TB services</w:t>
            </w:r>
            <w:r w:rsidRPr="0082494A">
              <w:rPr>
                <w:rFonts w:ascii="Arial" w:hAnsi="Arial" w:cs="Arial"/>
                <w:color w:val="auto"/>
                <w:sz w:val="24"/>
              </w:rPr>
              <w:t xml:space="preserve"> within two working days of referral</w:t>
            </w:r>
          </w:p>
          <w:p w:rsidR="001760B5" w:rsidRPr="0082494A" w:rsidRDefault="001760B5" w:rsidP="001760B5">
            <w:pPr>
              <w:pStyle w:val="ListParagraph"/>
              <w:numPr>
                <w:ilvl w:val="0"/>
                <w:numId w:val="13"/>
              </w:numPr>
              <w:spacing w:before="120" w:after="120"/>
              <w:ind w:left="714" w:hanging="357"/>
              <w:rPr>
                <w:rFonts w:ascii="Arial" w:hAnsi="Arial" w:cs="Arial"/>
                <w:color w:val="auto"/>
                <w:sz w:val="24"/>
              </w:rPr>
            </w:pPr>
            <w:r w:rsidRPr="0082494A">
              <w:rPr>
                <w:rFonts w:ascii="Arial" w:hAnsi="Arial" w:cs="Arial"/>
                <w:color w:val="auto"/>
                <w:sz w:val="24"/>
              </w:rPr>
              <w:t xml:space="preserve">increase in numbers of contacts of a case of TB identified and assessed for active and latent TB </w:t>
            </w:r>
            <w:r>
              <w:rPr>
                <w:rFonts w:ascii="Arial" w:hAnsi="Arial" w:cs="Arial"/>
                <w:color w:val="auto"/>
                <w:sz w:val="24"/>
              </w:rPr>
              <w:t>achieving an average minimum of five close contacts per pulmonary TB case aiming to achieve at least 10 close contacts per pulmonary TB case</w:t>
            </w:r>
          </w:p>
          <w:p w:rsidR="001760B5" w:rsidRDefault="001760B5" w:rsidP="001760B5">
            <w:pPr>
              <w:pStyle w:val="ListParagraph"/>
              <w:numPr>
                <w:ilvl w:val="0"/>
                <w:numId w:val="13"/>
              </w:numPr>
              <w:spacing w:before="120" w:after="120"/>
              <w:ind w:left="714" w:hanging="357"/>
              <w:rPr>
                <w:rFonts w:ascii="Arial" w:hAnsi="Arial" w:cs="Arial"/>
                <w:color w:val="auto"/>
                <w:sz w:val="24"/>
              </w:rPr>
            </w:pPr>
            <w:r w:rsidRPr="0082494A">
              <w:rPr>
                <w:rFonts w:ascii="Arial" w:hAnsi="Arial" w:cs="Arial"/>
                <w:color w:val="auto"/>
                <w:sz w:val="24"/>
              </w:rPr>
              <w:t xml:space="preserve">ensure 100% of all eligible neonates are offered BCG vaccination </w:t>
            </w:r>
          </w:p>
          <w:p w:rsidR="001760B5" w:rsidRPr="00317C09" w:rsidRDefault="001760B5" w:rsidP="001760B5">
            <w:pPr>
              <w:pStyle w:val="ListParagraph"/>
              <w:numPr>
                <w:ilvl w:val="0"/>
                <w:numId w:val="13"/>
              </w:numPr>
              <w:spacing w:before="120" w:after="120"/>
              <w:ind w:left="714" w:hanging="357"/>
              <w:rPr>
                <w:rFonts w:ascii="Arial" w:hAnsi="Arial" w:cs="Arial"/>
                <w:color w:val="000000" w:themeColor="text1"/>
                <w:sz w:val="24"/>
              </w:rPr>
            </w:pPr>
            <w:r>
              <w:rPr>
                <w:rFonts w:ascii="Arial" w:hAnsi="Arial" w:cs="Arial"/>
                <w:color w:val="auto"/>
                <w:sz w:val="24"/>
              </w:rPr>
              <w:t>a reduction in people with LTBI developing active TB disease</w:t>
            </w:r>
          </w:p>
          <w:p w:rsidR="009D52DC" w:rsidRPr="009D52DC" w:rsidRDefault="009D52DC" w:rsidP="009D52DC">
            <w:pPr>
              <w:spacing w:before="120" w:after="120"/>
              <w:rPr>
                <w:rFonts w:ascii="Arial" w:hAnsi="Arial" w:cs="Arial"/>
                <w:b/>
                <w:color w:val="000000" w:themeColor="text1"/>
                <w:sz w:val="24"/>
              </w:rPr>
            </w:pPr>
            <w:r w:rsidRPr="009D52DC">
              <w:rPr>
                <w:rFonts w:ascii="Arial" w:hAnsi="Arial" w:cs="Arial"/>
                <w:b/>
                <w:color w:val="auto"/>
                <w:sz w:val="24"/>
                <w:szCs w:val="24"/>
              </w:rPr>
              <w:t>Service standards</w:t>
            </w:r>
          </w:p>
          <w:p w:rsidR="00894950" w:rsidRDefault="00F77D02" w:rsidP="006351A7">
            <w:pPr>
              <w:spacing w:before="120" w:after="120"/>
              <w:rPr>
                <w:rFonts w:ascii="Arial" w:hAnsi="Arial" w:cs="Arial"/>
                <w:color w:val="auto"/>
                <w:sz w:val="24"/>
                <w:szCs w:val="24"/>
              </w:rPr>
            </w:pPr>
            <w:r>
              <w:rPr>
                <w:rFonts w:ascii="Arial" w:hAnsi="Arial" w:cs="Arial"/>
                <w:color w:val="auto"/>
                <w:sz w:val="24"/>
                <w:szCs w:val="24"/>
              </w:rPr>
              <w:t xml:space="preserve">This service specification includes </w:t>
            </w:r>
            <w:r w:rsidR="00727A95">
              <w:rPr>
                <w:rFonts w:ascii="Arial" w:hAnsi="Arial" w:cs="Arial"/>
                <w:color w:val="auto"/>
                <w:sz w:val="24"/>
                <w:szCs w:val="24"/>
              </w:rPr>
              <w:t xml:space="preserve">suggested </w:t>
            </w:r>
            <w:r w:rsidR="009D52DC">
              <w:rPr>
                <w:rFonts w:ascii="Arial" w:hAnsi="Arial" w:cs="Arial"/>
                <w:color w:val="auto"/>
                <w:sz w:val="24"/>
                <w:szCs w:val="24"/>
              </w:rPr>
              <w:t>Key Performance I</w:t>
            </w:r>
            <w:r w:rsidR="009D52DC" w:rsidRPr="00473578">
              <w:rPr>
                <w:rFonts w:ascii="Arial" w:hAnsi="Arial" w:cs="Arial"/>
                <w:color w:val="auto"/>
                <w:sz w:val="24"/>
                <w:szCs w:val="24"/>
              </w:rPr>
              <w:t>ndicators</w:t>
            </w:r>
            <w:r w:rsidR="009D52DC">
              <w:rPr>
                <w:rFonts w:ascii="Arial" w:hAnsi="Arial" w:cs="Arial"/>
                <w:color w:val="auto"/>
                <w:sz w:val="24"/>
                <w:szCs w:val="24"/>
              </w:rPr>
              <w:t xml:space="preserve"> (KPIs)</w:t>
            </w:r>
            <w:r>
              <w:rPr>
                <w:rFonts w:ascii="Arial" w:hAnsi="Arial" w:cs="Arial"/>
                <w:color w:val="auto"/>
                <w:sz w:val="24"/>
                <w:szCs w:val="24"/>
              </w:rPr>
              <w:t xml:space="preserve"> for local monitoring and reporting purposes</w:t>
            </w:r>
            <w:r w:rsidR="00F058C7">
              <w:rPr>
                <w:rFonts w:ascii="Arial" w:hAnsi="Arial" w:cs="Arial"/>
                <w:color w:val="auto"/>
                <w:sz w:val="24"/>
                <w:szCs w:val="24"/>
              </w:rPr>
              <w:t xml:space="preserve">. </w:t>
            </w:r>
            <w:r w:rsidR="00894950">
              <w:rPr>
                <w:rFonts w:ascii="Arial" w:hAnsi="Arial" w:cs="Arial"/>
                <w:color w:val="auto"/>
                <w:sz w:val="24"/>
                <w:szCs w:val="24"/>
              </w:rPr>
              <w:t>It is recommended that locally, at CCG or STP level, two to four KPIs are agreed for local monitoring and reporting arrangements with providers of local TB services</w:t>
            </w:r>
            <w:r>
              <w:rPr>
                <w:rFonts w:ascii="Arial" w:hAnsi="Arial" w:cs="Arial"/>
                <w:color w:val="auto"/>
                <w:sz w:val="24"/>
                <w:szCs w:val="24"/>
              </w:rPr>
              <w:t xml:space="preserve"> </w:t>
            </w:r>
            <w:r w:rsidR="00727A95">
              <w:rPr>
                <w:rFonts w:ascii="Arial" w:hAnsi="Arial" w:cs="Arial"/>
                <w:color w:val="auto"/>
                <w:sz w:val="24"/>
                <w:szCs w:val="24"/>
              </w:rPr>
              <w:t>including</w:t>
            </w:r>
            <w:r>
              <w:rPr>
                <w:rFonts w:ascii="Arial" w:hAnsi="Arial" w:cs="Arial"/>
                <w:color w:val="auto"/>
                <w:sz w:val="24"/>
                <w:szCs w:val="24"/>
              </w:rPr>
              <w:t xml:space="preserve"> </w:t>
            </w:r>
            <w:r w:rsidR="004D098D">
              <w:rPr>
                <w:rFonts w:ascii="Arial" w:hAnsi="Arial" w:cs="Arial"/>
                <w:color w:val="auto"/>
                <w:sz w:val="24"/>
                <w:szCs w:val="24"/>
              </w:rPr>
              <w:t xml:space="preserve">two </w:t>
            </w:r>
            <w:r w:rsidR="00727A95">
              <w:rPr>
                <w:rFonts w:ascii="Arial" w:hAnsi="Arial" w:cs="Arial"/>
                <w:color w:val="auto"/>
                <w:sz w:val="24"/>
                <w:szCs w:val="24"/>
              </w:rPr>
              <w:t xml:space="preserve">from the list of </w:t>
            </w:r>
            <w:r w:rsidR="004D098D">
              <w:rPr>
                <w:rFonts w:ascii="Arial" w:hAnsi="Arial" w:cs="Arial"/>
                <w:color w:val="auto"/>
                <w:sz w:val="24"/>
                <w:szCs w:val="24"/>
              </w:rPr>
              <w:t>national KPIs</w:t>
            </w:r>
            <w:r>
              <w:rPr>
                <w:rFonts w:ascii="Arial" w:hAnsi="Arial" w:cs="Arial"/>
                <w:color w:val="auto"/>
                <w:sz w:val="24"/>
                <w:szCs w:val="24"/>
              </w:rPr>
              <w:t xml:space="preserve"> </w:t>
            </w:r>
            <w:r w:rsidR="00727A95">
              <w:rPr>
                <w:rFonts w:ascii="Arial" w:hAnsi="Arial" w:cs="Arial"/>
                <w:color w:val="auto"/>
                <w:sz w:val="24"/>
                <w:szCs w:val="24"/>
              </w:rPr>
              <w:t>suggested</w:t>
            </w:r>
            <w:r>
              <w:rPr>
                <w:rFonts w:ascii="Arial" w:hAnsi="Arial" w:cs="Arial"/>
                <w:color w:val="auto"/>
                <w:sz w:val="24"/>
                <w:szCs w:val="24"/>
              </w:rPr>
              <w:t xml:space="preserve"> below</w:t>
            </w:r>
            <w:r w:rsidR="004D098D">
              <w:rPr>
                <w:rFonts w:ascii="Arial" w:hAnsi="Arial" w:cs="Arial"/>
                <w:color w:val="auto"/>
                <w:sz w:val="24"/>
                <w:szCs w:val="24"/>
              </w:rPr>
              <w:t xml:space="preserve">. </w:t>
            </w:r>
          </w:p>
          <w:p w:rsidR="001760B5" w:rsidRDefault="00F058C7" w:rsidP="006351A7">
            <w:pPr>
              <w:spacing w:before="120" w:after="120"/>
              <w:rPr>
                <w:rFonts w:ascii="Arial" w:hAnsi="Arial" w:cs="Arial"/>
                <w:color w:val="auto"/>
                <w:sz w:val="24"/>
                <w:szCs w:val="24"/>
              </w:rPr>
            </w:pPr>
            <w:r>
              <w:rPr>
                <w:rFonts w:ascii="Arial" w:hAnsi="Arial" w:cs="Arial"/>
                <w:color w:val="auto"/>
                <w:sz w:val="24"/>
                <w:szCs w:val="24"/>
              </w:rPr>
              <w:t>S</w:t>
            </w:r>
            <w:r w:rsidR="009D52DC">
              <w:rPr>
                <w:rFonts w:ascii="Arial" w:hAnsi="Arial" w:cs="Arial"/>
                <w:color w:val="auto"/>
                <w:sz w:val="24"/>
                <w:szCs w:val="24"/>
              </w:rPr>
              <w:t xml:space="preserve">ignatories to local TB service specifications </w:t>
            </w:r>
            <w:r w:rsidR="00F77D02">
              <w:rPr>
                <w:rFonts w:ascii="Arial" w:hAnsi="Arial" w:cs="Arial"/>
                <w:color w:val="auto"/>
                <w:sz w:val="24"/>
                <w:szCs w:val="24"/>
              </w:rPr>
              <w:t xml:space="preserve">to </w:t>
            </w:r>
            <w:r w:rsidR="009D52DC">
              <w:rPr>
                <w:rFonts w:ascii="Arial" w:hAnsi="Arial" w:cs="Arial"/>
                <w:color w:val="auto"/>
                <w:sz w:val="24"/>
                <w:szCs w:val="24"/>
              </w:rPr>
              <w:t xml:space="preserve">agree </w:t>
            </w:r>
            <w:r w:rsidR="00F77D02">
              <w:rPr>
                <w:rFonts w:ascii="Arial" w:hAnsi="Arial" w:cs="Arial"/>
                <w:color w:val="auto"/>
                <w:sz w:val="24"/>
                <w:szCs w:val="24"/>
              </w:rPr>
              <w:t xml:space="preserve">additional </w:t>
            </w:r>
            <w:r w:rsidR="009D52DC">
              <w:rPr>
                <w:rFonts w:ascii="Arial" w:hAnsi="Arial" w:cs="Arial"/>
                <w:color w:val="auto"/>
                <w:sz w:val="24"/>
                <w:szCs w:val="24"/>
              </w:rPr>
              <w:t>local</w:t>
            </w:r>
            <w:r w:rsidR="009D52DC" w:rsidRPr="002B5C3B">
              <w:rPr>
                <w:rFonts w:ascii="Arial" w:hAnsi="Arial" w:cs="Arial"/>
                <w:color w:val="auto"/>
                <w:sz w:val="24"/>
                <w:szCs w:val="24"/>
              </w:rPr>
              <w:t xml:space="preserve"> monitoring tools and </w:t>
            </w:r>
            <w:r w:rsidR="009D52DC">
              <w:rPr>
                <w:rFonts w:ascii="Arial" w:hAnsi="Arial" w:cs="Arial"/>
                <w:color w:val="auto"/>
                <w:sz w:val="24"/>
                <w:szCs w:val="24"/>
              </w:rPr>
              <w:t>KPIs</w:t>
            </w:r>
            <w:r w:rsidR="005A1A03">
              <w:rPr>
                <w:rFonts w:ascii="Arial" w:hAnsi="Arial" w:cs="Arial"/>
                <w:color w:val="auto"/>
                <w:sz w:val="24"/>
                <w:szCs w:val="24"/>
              </w:rPr>
              <w:t xml:space="preserve"> that </w:t>
            </w:r>
            <w:r w:rsidR="00F81D9F">
              <w:rPr>
                <w:rFonts w:ascii="Arial" w:hAnsi="Arial" w:cs="Arial"/>
                <w:color w:val="auto"/>
                <w:sz w:val="24"/>
                <w:szCs w:val="24"/>
              </w:rPr>
              <w:t xml:space="preserve">ensure </w:t>
            </w:r>
            <w:r w:rsidR="005A1A03">
              <w:rPr>
                <w:rFonts w:ascii="Arial" w:hAnsi="Arial" w:cs="Arial"/>
                <w:color w:val="auto"/>
                <w:sz w:val="24"/>
                <w:szCs w:val="24"/>
              </w:rPr>
              <w:t>improve</w:t>
            </w:r>
            <w:r w:rsidR="00F81D9F">
              <w:rPr>
                <w:rFonts w:ascii="Arial" w:hAnsi="Arial" w:cs="Arial"/>
                <w:color w:val="auto"/>
                <w:sz w:val="24"/>
                <w:szCs w:val="24"/>
              </w:rPr>
              <w:t>ments to</w:t>
            </w:r>
            <w:r w:rsidR="005A1A03">
              <w:rPr>
                <w:rFonts w:ascii="Arial" w:hAnsi="Arial" w:cs="Arial"/>
                <w:color w:val="auto"/>
                <w:sz w:val="24"/>
                <w:szCs w:val="24"/>
              </w:rPr>
              <w:t xml:space="preserve"> patient experience and outcomes</w:t>
            </w:r>
            <w:r>
              <w:rPr>
                <w:rFonts w:ascii="Arial" w:hAnsi="Arial" w:cs="Arial"/>
                <w:color w:val="auto"/>
                <w:sz w:val="24"/>
                <w:szCs w:val="24"/>
              </w:rPr>
              <w:t xml:space="preserve">. Signatories to ensure these </w:t>
            </w:r>
            <w:r w:rsidR="009D52DC">
              <w:rPr>
                <w:rFonts w:ascii="Arial" w:hAnsi="Arial" w:cs="Arial"/>
                <w:color w:val="auto"/>
                <w:sz w:val="24"/>
                <w:szCs w:val="24"/>
              </w:rPr>
              <w:t xml:space="preserve">are linked to </w:t>
            </w:r>
            <w:r w:rsidR="001760B5">
              <w:rPr>
                <w:rFonts w:ascii="Arial" w:hAnsi="Arial" w:cs="Arial"/>
                <w:color w:val="auto"/>
                <w:sz w:val="24"/>
                <w:szCs w:val="24"/>
              </w:rPr>
              <w:t xml:space="preserve">local </w:t>
            </w:r>
            <w:r w:rsidR="009D52DC">
              <w:rPr>
                <w:rFonts w:ascii="Arial" w:hAnsi="Arial" w:cs="Arial"/>
                <w:color w:val="auto"/>
                <w:sz w:val="24"/>
                <w:szCs w:val="24"/>
              </w:rPr>
              <w:t xml:space="preserve">TB </w:t>
            </w:r>
            <w:r w:rsidR="003A5EB5">
              <w:rPr>
                <w:rFonts w:ascii="Arial" w:hAnsi="Arial" w:cs="Arial"/>
                <w:color w:val="auto"/>
                <w:sz w:val="24"/>
                <w:szCs w:val="24"/>
              </w:rPr>
              <w:t xml:space="preserve">epidemiology, TB demographics, TB data reporting and inform local </w:t>
            </w:r>
            <w:r w:rsidR="009D52DC">
              <w:rPr>
                <w:rFonts w:ascii="Arial" w:hAnsi="Arial" w:cs="Arial"/>
                <w:color w:val="auto"/>
                <w:sz w:val="24"/>
                <w:szCs w:val="24"/>
              </w:rPr>
              <w:t xml:space="preserve">commissioning intentions </w:t>
            </w:r>
            <w:r w:rsidR="003A5EB5">
              <w:rPr>
                <w:rFonts w:ascii="Arial" w:hAnsi="Arial" w:cs="Arial"/>
                <w:color w:val="auto"/>
                <w:sz w:val="24"/>
                <w:szCs w:val="24"/>
              </w:rPr>
              <w:t xml:space="preserve">in conjunction with the expected outcomes outlined above and </w:t>
            </w:r>
            <w:r>
              <w:rPr>
                <w:rFonts w:ascii="Arial" w:hAnsi="Arial" w:cs="Arial"/>
                <w:color w:val="auto"/>
                <w:sz w:val="24"/>
                <w:szCs w:val="24"/>
              </w:rPr>
              <w:t>the national TB clinical policy</w:t>
            </w:r>
            <w:r w:rsidR="009D52DC">
              <w:rPr>
                <w:rFonts w:ascii="Arial" w:hAnsi="Arial" w:cs="Arial"/>
                <w:color w:val="auto"/>
                <w:sz w:val="24"/>
                <w:szCs w:val="24"/>
              </w:rPr>
              <w:t>.</w:t>
            </w:r>
          </w:p>
          <w:p w:rsidR="004D098D" w:rsidRPr="004D098D" w:rsidRDefault="004D098D" w:rsidP="006351A7">
            <w:pPr>
              <w:spacing w:before="120" w:after="120"/>
              <w:rPr>
                <w:rFonts w:ascii="Arial" w:hAnsi="Arial" w:cs="Arial"/>
                <w:b/>
                <w:color w:val="auto"/>
                <w:sz w:val="24"/>
                <w:szCs w:val="24"/>
              </w:rPr>
            </w:pPr>
            <w:r w:rsidRPr="004D098D">
              <w:rPr>
                <w:rFonts w:ascii="Arial" w:hAnsi="Arial" w:cs="Arial"/>
                <w:b/>
                <w:color w:val="auto"/>
                <w:sz w:val="24"/>
                <w:szCs w:val="24"/>
              </w:rPr>
              <w:t>National KPIs</w:t>
            </w:r>
          </w:p>
          <w:p w:rsidR="004D098D" w:rsidRDefault="004D098D" w:rsidP="004D098D">
            <w:pPr>
              <w:pStyle w:val="ListParagraph"/>
              <w:numPr>
                <w:ilvl w:val="0"/>
                <w:numId w:val="21"/>
              </w:numPr>
              <w:spacing w:before="120" w:after="120"/>
              <w:rPr>
                <w:rFonts w:ascii="Arial" w:hAnsi="Arial" w:cs="Arial"/>
                <w:b/>
                <w:i/>
                <w:color w:val="auto"/>
                <w:sz w:val="24"/>
              </w:rPr>
            </w:pPr>
            <w:r w:rsidRPr="004D098D">
              <w:rPr>
                <w:rFonts w:ascii="Arial" w:hAnsi="Arial" w:cs="Arial"/>
                <w:b/>
                <w:i/>
                <w:color w:val="auto"/>
                <w:sz w:val="24"/>
              </w:rPr>
              <w:t>a reduction in the local incidence of TB</w:t>
            </w:r>
          </w:p>
          <w:p w:rsidR="00F77D02" w:rsidRPr="00F77D02" w:rsidRDefault="00F77D02" w:rsidP="00F77D02">
            <w:pPr>
              <w:spacing w:before="120" w:after="120"/>
              <w:ind w:left="360"/>
              <w:rPr>
                <w:rFonts w:ascii="Arial" w:hAnsi="Arial" w:cs="Arial"/>
                <w:b/>
                <w:i/>
                <w:color w:val="auto"/>
                <w:sz w:val="24"/>
              </w:rPr>
            </w:pPr>
            <w:r>
              <w:rPr>
                <w:rFonts w:ascii="Arial" w:hAnsi="Arial" w:cs="Arial"/>
                <w:b/>
                <w:i/>
                <w:color w:val="auto"/>
                <w:sz w:val="24"/>
              </w:rPr>
              <w:t>Evidence – local and national reporting of TB rates</w:t>
            </w:r>
          </w:p>
          <w:p w:rsidR="004D098D" w:rsidRDefault="004D098D" w:rsidP="004D098D">
            <w:pPr>
              <w:pStyle w:val="ListParagraph"/>
              <w:numPr>
                <w:ilvl w:val="0"/>
                <w:numId w:val="21"/>
              </w:numPr>
              <w:spacing w:before="120" w:after="120"/>
              <w:rPr>
                <w:rFonts w:ascii="Arial" w:hAnsi="Arial" w:cs="Arial"/>
                <w:b/>
                <w:i/>
                <w:color w:val="auto"/>
                <w:sz w:val="24"/>
              </w:rPr>
            </w:pPr>
            <w:r w:rsidRPr="004D098D">
              <w:rPr>
                <w:rFonts w:ascii="Arial" w:hAnsi="Arial" w:cs="Arial"/>
                <w:b/>
                <w:i/>
                <w:color w:val="auto"/>
                <w:sz w:val="24"/>
              </w:rPr>
              <w:t>achieve the target of 85% TB treatment completion rates aiming to achieve over 90%</w:t>
            </w:r>
          </w:p>
          <w:p w:rsidR="00F77D02" w:rsidRPr="00F77D02" w:rsidRDefault="00F77D02" w:rsidP="00F77D02">
            <w:pPr>
              <w:spacing w:before="120" w:after="120"/>
              <w:ind w:left="360"/>
              <w:rPr>
                <w:rFonts w:ascii="Arial" w:hAnsi="Arial" w:cs="Arial"/>
                <w:b/>
                <w:i/>
                <w:color w:val="auto"/>
                <w:sz w:val="24"/>
              </w:rPr>
            </w:pPr>
            <w:r>
              <w:rPr>
                <w:rFonts w:ascii="Arial" w:hAnsi="Arial" w:cs="Arial"/>
                <w:b/>
                <w:i/>
                <w:color w:val="auto"/>
                <w:sz w:val="24"/>
              </w:rPr>
              <w:t>Evidence – local and national reporting</w:t>
            </w:r>
          </w:p>
          <w:p w:rsidR="005331E2" w:rsidRPr="006351A7" w:rsidRDefault="00894950" w:rsidP="006351A7">
            <w:pPr>
              <w:pStyle w:val="ListParagraph"/>
              <w:spacing w:before="120" w:after="120"/>
              <w:ind w:left="0"/>
              <w:rPr>
                <w:rFonts w:ascii="Arial" w:hAnsi="Arial" w:cs="Arial"/>
                <w:color w:val="auto"/>
                <w:sz w:val="24"/>
              </w:rPr>
            </w:pPr>
            <w:r>
              <w:rPr>
                <w:rFonts w:ascii="Arial" w:hAnsi="Arial" w:cs="Arial"/>
                <w:color w:val="auto"/>
                <w:sz w:val="24"/>
              </w:rPr>
              <w:t xml:space="preserve">Examples of </w:t>
            </w:r>
            <w:r w:rsidR="004D098D">
              <w:rPr>
                <w:rFonts w:ascii="Arial" w:hAnsi="Arial" w:cs="Arial"/>
                <w:color w:val="auto"/>
                <w:sz w:val="24"/>
              </w:rPr>
              <w:t xml:space="preserve">other </w:t>
            </w:r>
            <w:r w:rsidR="00727A95">
              <w:rPr>
                <w:rFonts w:ascii="Arial" w:hAnsi="Arial" w:cs="Arial"/>
                <w:color w:val="auto"/>
                <w:sz w:val="24"/>
              </w:rPr>
              <w:t xml:space="preserve">suggested </w:t>
            </w:r>
            <w:r>
              <w:rPr>
                <w:rFonts w:ascii="Arial" w:hAnsi="Arial" w:cs="Arial"/>
                <w:color w:val="auto"/>
                <w:sz w:val="24"/>
              </w:rPr>
              <w:t xml:space="preserve">KPIs </w:t>
            </w:r>
            <w:r w:rsidR="004D098D">
              <w:rPr>
                <w:rFonts w:ascii="Arial" w:hAnsi="Arial" w:cs="Arial"/>
                <w:color w:val="auto"/>
                <w:sz w:val="24"/>
              </w:rPr>
              <w:t xml:space="preserve">for local use </w:t>
            </w:r>
            <w:r>
              <w:rPr>
                <w:rFonts w:ascii="Arial" w:hAnsi="Arial" w:cs="Arial"/>
                <w:color w:val="auto"/>
                <w:sz w:val="24"/>
              </w:rPr>
              <w:t xml:space="preserve">are detailed below and include the </w:t>
            </w:r>
            <w:r w:rsidR="005331E2" w:rsidRPr="006351A7">
              <w:rPr>
                <w:rFonts w:ascii="Arial" w:hAnsi="Arial" w:cs="Arial"/>
                <w:color w:val="auto"/>
                <w:sz w:val="24"/>
              </w:rPr>
              <w:t>NICE quality standards</w:t>
            </w:r>
            <w:r w:rsidR="006351A7">
              <w:rPr>
                <w:rFonts w:ascii="Arial" w:hAnsi="Arial" w:cs="Arial"/>
                <w:color w:val="auto"/>
                <w:sz w:val="24"/>
              </w:rPr>
              <w:t xml:space="preserve"> </w:t>
            </w:r>
            <w:r>
              <w:rPr>
                <w:rFonts w:ascii="Arial" w:hAnsi="Arial" w:cs="Arial"/>
                <w:color w:val="auto"/>
                <w:sz w:val="24"/>
              </w:rPr>
              <w:t xml:space="preserve">(1 – 6) </w:t>
            </w:r>
            <w:r w:rsidR="001760B5">
              <w:rPr>
                <w:rFonts w:ascii="Arial" w:hAnsi="Arial" w:cs="Arial"/>
                <w:color w:val="auto"/>
                <w:sz w:val="24"/>
              </w:rPr>
              <w:t>that can be</w:t>
            </w:r>
            <w:r w:rsidR="008F6999">
              <w:rPr>
                <w:rFonts w:ascii="Arial" w:hAnsi="Arial" w:cs="Arial"/>
                <w:color w:val="auto"/>
                <w:sz w:val="24"/>
              </w:rPr>
              <w:t xml:space="preserve"> </w:t>
            </w:r>
            <w:r w:rsidR="006351A7">
              <w:rPr>
                <w:rFonts w:ascii="Arial" w:hAnsi="Arial" w:cs="Arial"/>
                <w:color w:val="auto"/>
                <w:sz w:val="24"/>
              </w:rPr>
              <w:t xml:space="preserve">linked to </w:t>
            </w:r>
            <w:r w:rsidR="008F6999">
              <w:rPr>
                <w:rFonts w:ascii="Arial" w:hAnsi="Arial" w:cs="Arial"/>
                <w:color w:val="auto"/>
                <w:sz w:val="24"/>
              </w:rPr>
              <w:t>the</w:t>
            </w:r>
            <w:r w:rsidR="001760B5">
              <w:rPr>
                <w:rFonts w:ascii="Arial" w:hAnsi="Arial" w:cs="Arial"/>
                <w:color w:val="auto"/>
                <w:sz w:val="24"/>
              </w:rPr>
              <w:t xml:space="preserve"> TB service standards are </w:t>
            </w:r>
            <w:r w:rsidR="001760B5">
              <w:rPr>
                <w:rFonts w:ascii="Arial" w:hAnsi="Arial" w:cs="Arial"/>
                <w:color w:val="auto"/>
                <w:sz w:val="24"/>
              </w:rPr>
              <w:lastRenderedPageBreak/>
              <w:t>detailed below:</w:t>
            </w:r>
          </w:p>
          <w:p w:rsidR="005331E2" w:rsidRPr="008353EC" w:rsidRDefault="005331E2" w:rsidP="006351A7">
            <w:pPr>
              <w:pStyle w:val="ListParagraph"/>
              <w:numPr>
                <w:ilvl w:val="0"/>
                <w:numId w:val="19"/>
              </w:numPr>
              <w:spacing w:before="120" w:after="120"/>
              <w:rPr>
                <w:rFonts w:ascii="Arial" w:hAnsi="Arial" w:cs="Arial"/>
                <w:color w:val="auto"/>
                <w:sz w:val="24"/>
              </w:rPr>
            </w:pPr>
            <w:proofErr w:type="gramStart"/>
            <w:r w:rsidRPr="006351A7">
              <w:rPr>
                <w:rFonts w:ascii="Arial" w:hAnsi="Arial" w:cs="Arial"/>
                <w:color w:val="auto"/>
                <w:sz w:val="24"/>
              </w:rPr>
              <w:t>People</w:t>
            </w:r>
            <w:r w:rsidR="006351A7">
              <w:rPr>
                <w:rFonts w:ascii="Arial" w:hAnsi="Arial" w:cs="Arial"/>
                <w:color w:val="auto"/>
                <w:sz w:val="24"/>
              </w:rPr>
              <w:t>,</w:t>
            </w:r>
            <w:proofErr w:type="gramEnd"/>
            <w:r w:rsidRPr="006351A7">
              <w:rPr>
                <w:rFonts w:ascii="Arial" w:hAnsi="Arial" w:cs="Arial"/>
                <w:color w:val="auto"/>
                <w:sz w:val="24"/>
              </w:rPr>
              <w:t xml:space="preserve"> aged 16 to 35 years</w:t>
            </w:r>
            <w:r w:rsidR="006351A7">
              <w:rPr>
                <w:rFonts w:ascii="Arial" w:hAnsi="Arial" w:cs="Arial"/>
                <w:color w:val="auto"/>
                <w:sz w:val="24"/>
              </w:rPr>
              <w:t>,</w:t>
            </w:r>
            <w:r w:rsidRPr="006351A7">
              <w:rPr>
                <w:rFonts w:ascii="Arial" w:hAnsi="Arial" w:cs="Arial"/>
                <w:color w:val="auto"/>
                <w:sz w:val="24"/>
              </w:rPr>
              <w:t xml:space="preserve"> </w:t>
            </w:r>
            <w:r w:rsidRPr="008353EC">
              <w:rPr>
                <w:rFonts w:ascii="Arial" w:hAnsi="Arial" w:cs="Arial"/>
                <w:color w:val="auto"/>
                <w:sz w:val="24"/>
              </w:rPr>
              <w:t>who have arrived in the country within the past 5 years, from countries with a high incidence of TB, are tested for latent TB infection when they register with a GP</w:t>
            </w:r>
            <w:r w:rsidR="006351A7">
              <w:rPr>
                <w:rFonts w:ascii="Arial" w:hAnsi="Arial" w:cs="Arial"/>
                <w:color w:val="auto"/>
                <w:sz w:val="24"/>
              </w:rPr>
              <w:t>.</w:t>
            </w:r>
          </w:p>
          <w:p w:rsidR="00971C93" w:rsidRDefault="006351A7" w:rsidP="00971C93">
            <w:pPr>
              <w:spacing w:before="120" w:after="120"/>
              <w:ind w:left="720"/>
              <w:rPr>
                <w:rFonts w:ascii="Arial" w:hAnsi="Arial" w:cs="Arial"/>
                <w:color w:val="auto"/>
                <w:sz w:val="24"/>
              </w:rPr>
            </w:pPr>
            <w:r w:rsidRPr="00971C93">
              <w:rPr>
                <w:rFonts w:ascii="Arial" w:hAnsi="Arial" w:cs="Arial"/>
                <w:color w:val="auto"/>
                <w:sz w:val="24"/>
              </w:rPr>
              <w:t xml:space="preserve">KPI - </w:t>
            </w:r>
            <w:r w:rsidR="005331E2" w:rsidRPr="00971C93">
              <w:rPr>
                <w:rFonts w:ascii="Arial" w:hAnsi="Arial" w:cs="Arial"/>
                <w:color w:val="auto"/>
                <w:sz w:val="24"/>
              </w:rPr>
              <w:t>Evidence of local arrangements</w:t>
            </w:r>
            <w:r w:rsidR="00BE32BC">
              <w:rPr>
                <w:rFonts w:ascii="Arial" w:hAnsi="Arial" w:cs="Arial"/>
                <w:color w:val="auto"/>
                <w:sz w:val="24"/>
              </w:rPr>
              <w:t>/programme</w:t>
            </w:r>
            <w:r w:rsidR="005331E2" w:rsidRPr="00971C93">
              <w:rPr>
                <w:rFonts w:ascii="Arial" w:hAnsi="Arial" w:cs="Arial"/>
                <w:color w:val="auto"/>
                <w:sz w:val="24"/>
              </w:rPr>
              <w:t xml:space="preserve"> to identify people</w:t>
            </w:r>
            <w:r w:rsidRPr="00971C93">
              <w:rPr>
                <w:rFonts w:ascii="Arial" w:hAnsi="Arial" w:cs="Arial"/>
                <w:color w:val="auto"/>
                <w:sz w:val="24"/>
              </w:rPr>
              <w:t>,</w:t>
            </w:r>
            <w:r w:rsidR="005331E2" w:rsidRPr="00971C93">
              <w:rPr>
                <w:rFonts w:ascii="Arial" w:hAnsi="Arial" w:cs="Arial"/>
                <w:color w:val="auto"/>
                <w:sz w:val="24"/>
              </w:rPr>
              <w:t xml:space="preserve"> aged 16 to 35 years</w:t>
            </w:r>
            <w:r w:rsidRPr="00971C93">
              <w:rPr>
                <w:rFonts w:ascii="Arial" w:hAnsi="Arial" w:cs="Arial"/>
                <w:color w:val="auto"/>
                <w:sz w:val="24"/>
              </w:rPr>
              <w:t>,</w:t>
            </w:r>
            <w:r w:rsidR="005331E2" w:rsidRPr="00971C93">
              <w:rPr>
                <w:rFonts w:ascii="Arial" w:hAnsi="Arial" w:cs="Arial"/>
                <w:color w:val="auto"/>
                <w:sz w:val="24"/>
              </w:rPr>
              <w:t xml:space="preserve"> who have arrived in the country within the past 5 years, from countries with a high incidence of TB, when they register with a GP</w:t>
            </w:r>
            <w:r w:rsidR="008F6999" w:rsidRPr="00971C93">
              <w:rPr>
                <w:rFonts w:ascii="Arial" w:hAnsi="Arial" w:cs="Arial"/>
                <w:color w:val="auto"/>
                <w:sz w:val="24"/>
              </w:rPr>
              <w:t xml:space="preserve"> and that they are offered an LTBI test</w:t>
            </w:r>
            <w:r w:rsidRPr="00971C93">
              <w:rPr>
                <w:rFonts w:ascii="Arial" w:hAnsi="Arial" w:cs="Arial"/>
                <w:color w:val="auto"/>
                <w:sz w:val="24"/>
              </w:rPr>
              <w:t>.</w:t>
            </w:r>
            <w:r w:rsidR="00621597" w:rsidRPr="00971C93">
              <w:rPr>
                <w:rFonts w:ascii="Arial" w:hAnsi="Arial" w:cs="Arial"/>
                <w:color w:val="auto"/>
                <w:sz w:val="24"/>
              </w:rPr>
              <w:t xml:space="preserve"> </w:t>
            </w:r>
          </w:p>
          <w:p w:rsidR="00376A04" w:rsidRDefault="00376A04" w:rsidP="00971C93">
            <w:pPr>
              <w:spacing w:before="120" w:after="120"/>
              <w:ind w:left="720"/>
              <w:rPr>
                <w:rFonts w:ascii="Arial" w:hAnsi="Arial" w:cs="Arial"/>
                <w:color w:val="auto"/>
                <w:sz w:val="24"/>
              </w:rPr>
            </w:pPr>
            <w:r>
              <w:rPr>
                <w:rFonts w:ascii="Arial" w:hAnsi="Arial" w:cs="Arial"/>
                <w:color w:val="auto"/>
                <w:sz w:val="24"/>
              </w:rPr>
              <w:t xml:space="preserve">Evidence – </w:t>
            </w:r>
            <w:r w:rsidR="00727A95">
              <w:rPr>
                <w:rFonts w:ascii="Arial" w:hAnsi="Arial" w:cs="Arial"/>
                <w:color w:val="auto"/>
                <w:sz w:val="24"/>
              </w:rPr>
              <w:t xml:space="preserve">the </w:t>
            </w:r>
            <w:r>
              <w:rPr>
                <w:rFonts w:ascii="Arial" w:hAnsi="Arial" w:cs="Arial"/>
                <w:color w:val="auto"/>
                <w:sz w:val="24"/>
              </w:rPr>
              <w:t xml:space="preserve">local CCG </w:t>
            </w:r>
            <w:r w:rsidR="00727A95">
              <w:rPr>
                <w:rFonts w:ascii="Arial" w:hAnsi="Arial" w:cs="Arial"/>
                <w:color w:val="auto"/>
                <w:sz w:val="24"/>
              </w:rPr>
              <w:t xml:space="preserve">is </w:t>
            </w:r>
            <w:r>
              <w:rPr>
                <w:rFonts w:ascii="Arial" w:hAnsi="Arial" w:cs="Arial"/>
                <w:color w:val="auto"/>
                <w:sz w:val="24"/>
              </w:rPr>
              <w:t>part</w:t>
            </w:r>
            <w:r w:rsidR="00727A95">
              <w:rPr>
                <w:rFonts w:ascii="Arial" w:hAnsi="Arial" w:cs="Arial"/>
                <w:color w:val="auto"/>
                <w:sz w:val="24"/>
              </w:rPr>
              <w:t>icipating in the</w:t>
            </w:r>
            <w:r>
              <w:rPr>
                <w:rFonts w:ascii="Arial" w:hAnsi="Arial" w:cs="Arial"/>
                <w:color w:val="auto"/>
                <w:sz w:val="24"/>
              </w:rPr>
              <w:t xml:space="preserve"> national LTBI programmatic testing and treatment programme or has implemented </w:t>
            </w:r>
            <w:r w:rsidR="003E3099">
              <w:rPr>
                <w:rFonts w:ascii="Arial" w:hAnsi="Arial" w:cs="Arial"/>
                <w:color w:val="auto"/>
                <w:sz w:val="24"/>
              </w:rPr>
              <w:t>a local programme</w:t>
            </w:r>
          </w:p>
          <w:p w:rsidR="005331E2" w:rsidRPr="00971C93" w:rsidRDefault="001760B5" w:rsidP="00971C93">
            <w:pPr>
              <w:pStyle w:val="ListParagraph"/>
              <w:numPr>
                <w:ilvl w:val="0"/>
                <w:numId w:val="19"/>
              </w:numPr>
              <w:spacing w:before="120" w:after="120"/>
              <w:rPr>
                <w:rFonts w:ascii="Arial" w:hAnsi="Arial" w:cs="Arial"/>
                <w:color w:val="auto"/>
                <w:sz w:val="24"/>
              </w:rPr>
            </w:pPr>
            <w:proofErr w:type="gramStart"/>
            <w:r w:rsidRPr="00971C93">
              <w:rPr>
                <w:rFonts w:ascii="Arial" w:hAnsi="Arial" w:cs="Arial"/>
                <w:color w:val="auto"/>
                <w:sz w:val="24"/>
              </w:rPr>
              <w:t>A</w:t>
            </w:r>
            <w:r w:rsidR="005331E2" w:rsidRPr="00971C93">
              <w:rPr>
                <w:rFonts w:ascii="Arial" w:hAnsi="Arial" w:cs="Arial"/>
                <w:color w:val="auto"/>
                <w:sz w:val="24"/>
              </w:rPr>
              <w:t>dults</w:t>
            </w:r>
            <w:r w:rsidR="006351A7" w:rsidRPr="00971C93">
              <w:rPr>
                <w:rFonts w:ascii="Arial" w:hAnsi="Arial" w:cs="Arial"/>
                <w:color w:val="auto"/>
                <w:sz w:val="24"/>
              </w:rPr>
              <w:t>,</w:t>
            </w:r>
            <w:proofErr w:type="gramEnd"/>
            <w:r w:rsidR="005331E2" w:rsidRPr="00971C93">
              <w:rPr>
                <w:rFonts w:ascii="Arial" w:hAnsi="Arial" w:cs="Arial"/>
                <w:color w:val="auto"/>
                <w:sz w:val="24"/>
              </w:rPr>
              <w:t xml:space="preserve"> aged under 65 years</w:t>
            </w:r>
            <w:r w:rsidR="006351A7" w:rsidRPr="00971C93">
              <w:rPr>
                <w:rFonts w:ascii="Arial" w:hAnsi="Arial" w:cs="Arial"/>
                <w:color w:val="auto"/>
                <w:sz w:val="24"/>
              </w:rPr>
              <w:t>,</w:t>
            </w:r>
            <w:r w:rsidR="005331E2" w:rsidRPr="00971C93">
              <w:rPr>
                <w:rFonts w:ascii="Arial" w:hAnsi="Arial" w:cs="Arial"/>
                <w:color w:val="auto"/>
                <w:sz w:val="24"/>
              </w:rPr>
              <w:t xml:space="preserve"> who are diagnosed with HIV, are tested for latent TB infection</w:t>
            </w:r>
            <w:r w:rsidR="006351A7" w:rsidRPr="00971C93">
              <w:rPr>
                <w:rFonts w:ascii="Arial" w:hAnsi="Arial" w:cs="Arial"/>
                <w:color w:val="auto"/>
                <w:sz w:val="24"/>
              </w:rPr>
              <w:t>.</w:t>
            </w:r>
          </w:p>
          <w:p w:rsidR="005331E2" w:rsidRDefault="006351A7" w:rsidP="006351A7">
            <w:pPr>
              <w:pStyle w:val="ListParagraph"/>
              <w:spacing w:before="120" w:after="120"/>
              <w:ind w:left="743" w:hanging="23"/>
              <w:rPr>
                <w:rFonts w:ascii="Arial" w:hAnsi="Arial" w:cs="Arial"/>
                <w:color w:val="auto"/>
                <w:sz w:val="24"/>
              </w:rPr>
            </w:pPr>
            <w:r>
              <w:rPr>
                <w:rFonts w:ascii="Arial" w:hAnsi="Arial" w:cs="Arial"/>
                <w:color w:val="auto"/>
                <w:sz w:val="24"/>
              </w:rPr>
              <w:t xml:space="preserve">KPI - </w:t>
            </w:r>
            <w:r w:rsidR="005331E2" w:rsidRPr="008353EC">
              <w:rPr>
                <w:rFonts w:ascii="Arial" w:hAnsi="Arial" w:cs="Arial"/>
                <w:color w:val="auto"/>
                <w:sz w:val="24"/>
              </w:rPr>
              <w:t>Evidence of local arrangements to ensure that adults</w:t>
            </w:r>
            <w:r>
              <w:rPr>
                <w:rFonts w:ascii="Arial" w:hAnsi="Arial" w:cs="Arial"/>
                <w:color w:val="auto"/>
                <w:sz w:val="24"/>
              </w:rPr>
              <w:t>,</w:t>
            </w:r>
            <w:r w:rsidR="005331E2" w:rsidRPr="008353EC">
              <w:rPr>
                <w:rFonts w:ascii="Arial" w:hAnsi="Arial" w:cs="Arial"/>
                <w:color w:val="auto"/>
                <w:sz w:val="24"/>
              </w:rPr>
              <w:t xml:space="preserve"> aged under 65 years</w:t>
            </w:r>
            <w:r>
              <w:rPr>
                <w:rFonts w:ascii="Arial" w:hAnsi="Arial" w:cs="Arial"/>
                <w:color w:val="auto"/>
                <w:sz w:val="24"/>
              </w:rPr>
              <w:t>,</w:t>
            </w:r>
            <w:r w:rsidR="005331E2" w:rsidRPr="008353EC">
              <w:rPr>
                <w:rFonts w:ascii="Arial" w:hAnsi="Arial" w:cs="Arial"/>
                <w:color w:val="auto"/>
                <w:sz w:val="24"/>
              </w:rPr>
              <w:t xml:space="preserve"> who are diagnosed with HIV, </w:t>
            </w:r>
            <w:r w:rsidR="00727A95">
              <w:rPr>
                <w:rFonts w:ascii="Arial" w:hAnsi="Arial" w:cs="Arial"/>
                <w:color w:val="auto"/>
                <w:sz w:val="24"/>
              </w:rPr>
              <w:t xml:space="preserve">are </w:t>
            </w:r>
            <w:r w:rsidR="005331E2" w:rsidRPr="008353EC">
              <w:rPr>
                <w:rFonts w:ascii="Arial" w:hAnsi="Arial" w:cs="Arial"/>
                <w:color w:val="auto"/>
                <w:sz w:val="24"/>
              </w:rPr>
              <w:t>test</w:t>
            </w:r>
            <w:r w:rsidR="00BE32BC">
              <w:rPr>
                <w:rFonts w:ascii="Arial" w:hAnsi="Arial" w:cs="Arial"/>
                <w:color w:val="auto"/>
                <w:sz w:val="24"/>
              </w:rPr>
              <w:t>ed</w:t>
            </w:r>
            <w:r w:rsidR="005331E2" w:rsidRPr="008353EC">
              <w:rPr>
                <w:rFonts w:ascii="Arial" w:hAnsi="Arial" w:cs="Arial"/>
                <w:color w:val="auto"/>
                <w:sz w:val="24"/>
              </w:rPr>
              <w:t xml:space="preserve"> for latent TB infection</w:t>
            </w:r>
            <w:r>
              <w:rPr>
                <w:rFonts w:ascii="Arial" w:hAnsi="Arial" w:cs="Arial"/>
                <w:color w:val="auto"/>
                <w:sz w:val="24"/>
              </w:rPr>
              <w:t>.</w:t>
            </w:r>
          </w:p>
          <w:p w:rsidR="00376A04" w:rsidRPr="008353EC" w:rsidRDefault="00376A04" w:rsidP="006351A7">
            <w:pPr>
              <w:pStyle w:val="ListParagraph"/>
              <w:spacing w:before="120" w:after="120"/>
              <w:ind w:left="743" w:hanging="23"/>
              <w:rPr>
                <w:rFonts w:ascii="Arial" w:hAnsi="Arial" w:cs="Arial"/>
                <w:color w:val="auto"/>
                <w:sz w:val="24"/>
              </w:rPr>
            </w:pPr>
            <w:r>
              <w:rPr>
                <w:rFonts w:ascii="Arial" w:hAnsi="Arial" w:cs="Arial"/>
                <w:color w:val="auto"/>
                <w:sz w:val="24"/>
              </w:rPr>
              <w:t xml:space="preserve">Evidence –obtained from </w:t>
            </w:r>
            <w:r w:rsidR="00727A95">
              <w:rPr>
                <w:rFonts w:ascii="Arial" w:hAnsi="Arial" w:cs="Arial"/>
                <w:color w:val="auto"/>
                <w:sz w:val="24"/>
              </w:rPr>
              <w:t xml:space="preserve">Enhanced </w:t>
            </w:r>
            <w:r w:rsidR="00A25CFC">
              <w:rPr>
                <w:rFonts w:ascii="Arial" w:hAnsi="Arial" w:cs="Arial"/>
                <w:color w:val="auto"/>
                <w:sz w:val="24"/>
              </w:rPr>
              <w:t>TB Surveillance System (</w:t>
            </w:r>
            <w:r>
              <w:rPr>
                <w:rFonts w:ascii="Arial" w:hAnsi="Arial" w:cs="Arial"/>
                <w:color w:val="auto"/>
                <w:sz w:val="24"/>
              </w:rPr>
              <w:t>ETS</w:t>
            </w:r>
            <w:r w:rsidR="00A25CFC">
              <w:rPr>
                <w:rFonts w:ascii="Arial" w:hAnsi="Arial" w:cs="Arial"/>
                <w:color w:val="auto"/>
                <w:sz w:val="24"/>
              </w:rPr>
              <w:t>)</w:t>
            </w:r>
            <w:r>
              <w:rPr>
                <w:rFonts w:ascii="Arial" w:hAnsi="Arial" w:cs="Arial"/>
                <w:color w:val="auto"/>
                <w:sz w:val="24"/>
              </w:rPr>
              <w:t>/</w:t>
            </w:r>
            <w:r w:rsidR="00A25CFC">
              <w:rPr>
                <w:rFonts w:ascii="Arial" w:hAnsi="Arial" w:cs="Arial"/>
                <w:color w:val="auto"/>
                <w:sz w:val="24"/>
              </w:rPr>
              <w:t>London TB Register (</w:t>
            </w:r>
            <w:r>
              <w:rPr>
                <w:rFonts w:ascii="Arial" w:hAnsi="Arial" w:cs="Arial"/>
                <w:color w:val="auto"/>
                <w:sz w:val="24"/>
              </w:rPr>
              <w:t>LTBR</w:t>
            </w:r>
            <w:r w:rsidR="00A25CFC">
              <w:rPr>
                <w:rFonts w:ascii="Arial" w:hAnsi="Arial" w:cs="Arial"/>
                <w:color w:val="auto"/>
                <w:sz w:val="24"/>
              </w:rPr>
              <w:t>)</w:t>
            </w:r>
          </w:p>
          <w:p w:rsidR="005331E2" w:rsidRPr="008353EC" w:rsidRDefault="002B583C" w:rsidP="006351A7">
            <w:pPr>
              <w:pStyle w:val="ListParagraph"/>
              <w:numPr>
                <w:ilvl w:val="0"/>
                <w:numId w:val="19"/>
              </w:numPr>
              <w:spacing w:before="120" w:after="120"/>
              <w:rPr>
                <w:rFonts w:ascii="Arial" w:hAnsi="Arial" w:cs="Arial"/>
                <w:color w:val="auto"/>
                <w:sz w:val="24"/>
              </w:rPr>
            </w:pPr>
            <w:r w:rsidRPr="008353EC">
              <w:rPr>
                <w:rFonts w:ascii="Arial" w:hAnsi="Arial" w:cs="Arial"/>
                <w:color w:val="auto"/>
                <w:sz w:val="24"/>
              </w:rPr>
              <w:t>People who are referred to a TB service, who meet specific criteria, have rapid diagnostic nucleic acid amplification tests (NAATs)</w:t>
            </w:r>
            <w:r w:rsidR="006351A7">
              <w:rPr>
                <w:rFonts w:ascii="Arial" w:hAnsi="Arial" w:cs="Arial"/>
                <w:color w:val="auto"/>
                <w:sz w:val="24"/>
              </w:rPr>
              <w:t>.</w:t>
            </w:r>
          </w:p>
          <w:p w:rsidR="008353EC" w:rsidRDefault="006351A7" w:rsidP="006351A7">
            <w:pPr>
              <w:pStyle w:val="ListParagraph"/>
              <w:spacing w:before="120" w:after="120"/>
              <w:rPr>
                <w:rFonts w:ascii="Arial" w:hAnsi="Arial" w:cs="Arial"/>
                <w:color w:val="auto"/>
                <w:sz w:val="24"/>
              </w:rPr>
            </w:pPr>
            <w:r>
              <w:rPr>
                <w:rFonts w:ascii="Arial" w:hAnsi="Arial" w:cs="Arial"/>
                <w:color w:val="auto"/>
                <w:sz w:val="24"/>
              </w:rPr>
              <w:t xml:space="preserve">KPI - </w:t>
            </w:r>
            <w:r w:rsidR="008353EC" w:rsidRPr="008353EC">
              <w:rPr>
                <w:rFonts w:ascii="Arial" w:hAnsi="Arial" w:cs="Arial"/>
                <w:color w:val="auto"/>
                <w:sz w:val="24"/>
              </w:rPr>
              <w:t>Evidence of local arrangements to ensure that people who are referred to a TB service, who meet specific criteria, have rapid diagnostic NAATs</w:t>
            </w:r>
            <w:r>
              <w:rPr>
                <w:rFonts w:ascii="Arial" w:hAnsi="Arial" w:cs="Arial"/>
                <w:color w:val="auto"/>
                <w:sz w:val="24"/>
              </w:rPr>
              <w:t>.</w:t>
            </w:r>
          </w:p>
          <w:p w:rsidR="003E3099" w:rsidRPr="008353EC" w:rsidRDefault="003E3099" w:rsidP="006351A7">
            <w:pPr>
              <w:pStyle w:val="ListParagraph"/>
              <w:spacing w:before="120" w:after="120"/>
              <w:rPr>
                <w:rFonts w:ascii="Arial" w:hAnsi="Arial" w:cs="Arial"/>
                <w:color w:val="auto"/>
                <w:sz w:val="24"/>
              </w:rPr>
            </w:pPr>
            <w:r>
              <w:rPr>
                <w:rFonts w:ascii="Arial" w:hAnsi="Arial" w:cs="Arial"/>
                <w:color w:val="auto"/>
                <w:sz w:val="24"/>
              </w:rPr>
              <w:t xml:space="preserve">Evidence - </w:t>
            </w:r>
            <w:r w:rsidR="00894950">
              <w:rPr>
                <w:rFonts w:ascii="Arial" w:hAnsi="Arial" w:cs="Arial"/>
                <w:color w:val="auto"/>
                <w:sz w:val="24"/>
              </w:rPr>
              <w:t>obtained from ETS, not on LTBR</w:t>
            </w:r>
          </w:p>
          <w:p w:rsidR="008353EC" w:rsidRPr="008353EC" w:rsidRDefault="008353EC" w:rsidP="006351A7">
            <w:pPr>
              <w:pStyle w:val="ListParagraph"/>
              <w:numPr>
                <w:ilvl w:val="0"/>
                <w:numId w:val="19"/>
              </w:numPr>
              <w:spacing w:before="120" w:after="120"/>
              <w:rPr>
                <w:rFonts w:ascii="Arial" w:hAnsi="Arial" w:cs="Arial"/>
                <w:color w:val="auto"/>
                <w:sz w:val="24"/>
              </w:rPr>
            </w:pPr>
            <w:r w:rsidRPr="008353EC">
              <w:rPr>
                <w:rFonts w:ascii="Arial" w:hAnsi="Arial" w:cs="Arial"/>
                <w:color w:val="auto"/>
                <w:sz w:val="24"/>
              </w:rPr>
              <w:t>People who have imaging features suggestive of active pulmonary TB are assessed by the next working day.</w:t>
            </w:r>
          </w:p>
          <w:p w:rsidR="008353EC" w:rsidRDefault="006351A7" w:rsidP="006351A7">
            <w:pPr>
              <w:pStyle w:val="ListParagraph"/>
              <w:spacing w:before="120" w:after="120"/>
              <w:rPr>
                <w:rFonts w:ascii="Arial" w:hAnsi="Arial" w:cs="Arial"/>
                <w:color w:val="auto"/>
                <w:sz w:val="24"/>
              </w:rPr>
            </w:pPr>
            <w:r>
              <w:rPr>
                <w:rFonts w:ascii="Arial" w:hAnsi="Arial" w:cs="Arial"/>
                <w:color w:val="auto"/>
                <w:sz w:val="24"/>
              </w:rPr>
              <w:t xml:space="preserve">KPI - </w:t>
            </w:r>
            <w:r w:rsidR="008353EC" w:rsidRPr="008353EC">
              <w:rPr>
                <w:rFonts w:ascii="Arial" w:hAnsi="Arial" w:cs="Arial"/>
                <w:color w:val="auto"/>
                <w:sz w:val="24"/>
              </w:rPr>
              <w:t xml:space="preserve">Evidence of TB services having local arrangements in place to ensure that people who have imaging features suggestive of active pulmonary TB are assessed </w:t>
            </w:r>
            <w:r w:rsidR="00BE32BC">
              <w:rPr>
                <w:rFonts w:ascii="Arial" w:hAnsi="Arial" w:cs="Arial"/>
                <w:color w:val="auto"/>
                <w:sz w:val="24"/>
              </w:rPr>
              <w:t xml:space="preserve">within two </w:t>
            </w:r>
            <w:r w:rsidR="008353EC" w:rsidRPr="008353EC">
              <w:rPr>
                <w:rFonts w:ascii="Arial" w:hAnsi="Arial" w:cs="Arial"/>
                <w:color w:val="auto"/>
                <w:sz w:val="24"/>
              </w:rPr>
              <w:t>working day</w:t>
            </w:r>
            <w:r w:rsidR="00BE32BC">
              <w:rPr>
                <w:rFonts w:ascii="Arial" w:hAnsi="Arial" w:cs="Arial"/>
                <w:color w:val="auto"/>
                <w:sz w:val="24"/>
              </w:rPr>
              <w:t>s</w:t>
            </w:r>
            <w:r w:rsidR="00894950">
              <w:rPr>
                <w:rFonts w:ascii="Arial" w:hAnsi="Arial" w:cs="Arial"/>
                <w:color w:val="auto"/>
                <w:sz w:val="24"/>
              </w:rPr>
              <w:t xml:space="preserve"> (as per national TB clinical policy)</w:t>
            </w:r>
            <w:r w:rsidR="008353EC" w:rsidRPr="008353EC">
              <w:rPr>
                <w:rFonts w:ascii="Arial" w:hAnsi="Arial" w:cs="Arial"/>
                <w:color w:val="auto"/>
                <w:sz w:val="24"/>
              </w:rPr>
              <w:t>.</w:t>
            </w:r>
          </w:p>
          <w:p w:rsidR="00894950" w:rsidRPr="008353EC" w:rsidRDefault="00894950" w:rsidP="006351A7">
            <w:pPr>
              <w:pStyle w:val="ListParagraph"/>
              <w:spacing w:before="120" w:after="120"/>
              <w:rPr>
                <w:rFonts w:ascii="Arial" w:hAnsi="Arial" w:cs="Arial"/>
                <w:color w:val="auto"/>
                <w:sz w:val="24"/>
              </w:rPr>
            </w:pPr>
            <w:r>
              <w:rPr>
                <w:rFonts w:ascii="Arial" w:hAnsi="Arial" w:cs="Arial"/>
                <w:color w:val="auto"/>
                <w:sz w:val="24"/>
              </w:rPr>
              <w:t>Evidence – cohort review</w:t>
            </w:r>
            <w:r w:rsidR="003A5EB5">
              <w:rPr>
                <w:rFonts w:ascii="Arial" w:hAnsi="Arial" w:cs="Arial"/>
                <w:color w:val="auto"/>
                <w:sz w:val="24"/>
              </w:rPr>
              <w:t xml:space="preserve"> reporting</w:t>
            </w:r>
          </w:p>
          <w:p w:rsidR="008353EC" w:rsidRPr="008353EC" w:rsidRDefault="008353EC" w:rsidP="006351A7">
            <w:pPr>
              <w:pStyle w:val="ListParagraph"/>
              <w:numPr>
                <w:ilvl w:val="0"/>
                <w:numId w:val="19"/>
              </w:numPr>
              <w:spacing w:before="120" w:after="120"/>
              <w:rPr>
                <w:rFonts w:ascii="Arial" w:hAnsi="Arial" w:cs="Arial"/>
                <w:color w:val="auto"/>
                <w:sz w:val="24"/>
              </w:rPr>
            </w:pPr>
            <w:r w:rsidRPr="008353EC">
              <w:rPr>
                <w:rFonts w:ascii="Arial" w:hAnsi="Arial" w:cs="Arial"/>
                <w:color w:val="auto"/>
                <w:sz w:val="24"/>
              </w:rPr>
              <w:t>People with active TB from under-served groups are offered directly observed therapy.</w:t>
            </w:r>
          </w:p>
          <w:p w:rsidR="008353EC" w:rsidRDefault="006351A7" w:rsidP="006351A7">
            <w:pPr>
              <w:pStyle w:val="ListParagraph"/>
              <w:spacing w:before="120" w:after="120"/>
              <w:rPr>
                <w:rFonts w:ascii="Arial" w:hAnsi="Arial" w:cs="Arial"/>
                <w:color w:val="auto"/>
                <w:sz w:val="24"/>
              </w:rPr>
            </w:pPr>
            <w:r>
              <w:rPr>
                <w:rFonts w:ascii="Arial" w:hAnsi="Arial" w:cs="Arial"/>
                <w:color w:val="auto"/>
                <w:sz w:val="24"/>
              </w:rPr>
              <w:t xml:space="preserve">KPI – </w:t>
            </w:r>
            <w:r w:rsidR="008353EC" w:rsidRPr="008353EC">
              <w:rPr>
                <w:rFonts w:ascii="Arial" w:hAnsi="Arial" w:cs="Arial"/>
                <w:color w:val="auto"/>
                <w:sz w:val="24"/>
              </w:rPr>
              <w:t>Evidence of local arrangements to ensure that people with active TB from under-served groups are offered directly observed therapy.</w:t>
            </w:r>
          </w:p>
          <w:p w:rsidR="00894950" w:rsidRPr="008353EC" w:rsidRDefault="00894950" w:rsidP="006351A7">
            <w:pPr>
              <w:pStyle w:val="ListParagraph"/>
              <w:spacing w:before="120" w:after="120"/>
              <w:rPr>
                <w:rFonts w:ascii="Arial" w:hAnsi="Arial" w:cs="Arial"/>
                <w:color w:val="auto"/>
                <w:sz w:val="24"/>
              </w:rPr>
            </w:pPr>
            <w:r>
              <w:rPr>
                <w:rFonts w:ascii="Arial" w:hAnsi="Arial" w:cs="Arial"/>
                <w:color w:val="auto"/>
                <w:sz w:val="24"/>
              </w:rPr>
              <w:t>Evidence - obtained from ETS/LTBR</w:t>
            </w:r>
          </w:p>
          <w:p w:rsidR="008353EC" w:rsidRPr="008353EC" w:rsidRDefault="008353EC" w:rsidP="006351A7">
            <w:pPr>
              <w:pStyle w:val="ListParagraph"/>
              <w:numPr>
                <w:ilvl w:val="0"/>
                <w:numId w:val="19"/>
              </w:numPr>
              <w:spacing w:before="120" w:after="120"/>
              <w:rPr>
                <w:rFonts w:ascii="Arial" w:hAnsi="Arial" w:cs="Arial"/>
                <w:color w:val="auto"/>
                <w:sz w:val="24"/>
              </w:rPr>
            </w:pPr>
            <w:r w:rsidRPr="008353EC">
              <w:rPr>
                <w:rFonts w:ascii="Arial" w:hAnsi="Arial" w:cs="Arial"/>
                <w:color w:val="auto"/>
                <w:sz w:val="24"/>
              </w:rPr>
              <w:t>People with active pulmonary TB who are homeless are offered accommodation for the duration of their treatment</w:t>
            </w:r>
            <w:r w:rsidR="006351A7">
              <w:rPr>
                <w:rFonts w:ascii="Arial" w:hAnsi="Arial" w:cs="Arial"/>
                <w:color w:val="auto"/>
                <w:sz w:val="24"/>
              </w:rPr>
              <w:t>.</w:t>
            </w:r>
          </w:p>
          <w:p w:rsidR="008353EC" w:rsidRPr="008353EC" w:rsidRDefault="006351A7" w:rsidP="006351A7">
            <w:pPr>
              <w:pStyle w:val="ListParagraph"/>
              <w:spacing w:before="120" w:after="120"/>
              <w:rPr>
                <w:rFonts w:ascii="Arial" w:hAnsi="Arial" w:cs="Arial"/>
                <w:color w:val="auto"/>
                <w:sz w:val="24"/>
              </w:rPr>
            </w:pPr>
            <w:r>
              <w:rPr>
                <w:rFonts w:ascii="Arial" w:hAnsi="Arial" w:cs="Arial"/>
                <w:color w:val="auto"/>
                <w:sz w:val="24"/>
              </w:rPr>
              <w:t xml:space="preserve">KPI - </w:t>
            </w:r>
            <w:r w:rsidR="008353EC" w:rsidRPr="008353EC">
              <w:rPr>
                <w:rFonts w:ascii="Arial" w:hAnsi="Arial" w:cs="Arial"/>
                <w:color w:val="auto"/>
                <w:sz w:val="24"/>
              </w:rPr>
              <w:t>Evidence of local arrangements to ensure that people diagnosed with active pulmonary TB who are homeless are identified</w:t>
            </w:r>
            <w:r>
              <w:rPr>
                <w:rFonts w:ascii="Arial" w:hAnsi="Arial" w:cs="Arial"/>
                <w:color w:val="auto"/>
                <w:sz w:val="24"/>
              </w:rPr>
              <w:t>.</w:t>
            </w:r>
          </w:p>
          <w:p w:rsidR="009D52DC" w:rsidRDefault="009D52DC" w:rsidP="009D52DC">
            <w:pPr>
              <w:spacing w:before="120" w:after="120"/>
              <w:rPr>
                <w:rFonts w:ascii="Arial" w:hAnsi="Arial" w:cs="Arial"/>
                <w:color w:val="auto"/>
                <w:sz w:val="24"/>
                <w:szCs w:val="24"/>
              </w:rPr>
            </w:pPr>
            <w:r>
              <w:rPr>
                <w:rFonts w:ascii="Arial" w:hAnsi="Arial" w:cs="Arial"/>
                <w:color w:val="auto"/>
                <w:sz w:val="24"/>
                <w:szCs w:val="24"/>
              </w:rPr>
              <w:t xml:space="preserve">Local </w:t>
            </w:r>
            <w:r w:rsidR="003A5EB5">
              <w:rPr>
                <w:rFonts w:ascii="Arial" w:hAnsi="Arial" w:cs="Arial"/>
                <w:color w:val="auto"/>
                <w:sz w:val="24"/>
                <w:szCs w:val="24"/>
              </w:rPr>
              <w:t xml:space="preserve">KPI </w:t>
            </w:r>
            <w:r>
              <w:rPr>
                <w:rFonts w:ascii="Arial" w:hAnsi="Arial" w:cs="Arial"/>
                <w:color w:val="auto"/>
                <w:sz w:val="24"/>
                <w:szCs w:val="24"/>
              </w:rPr>
              <w:t>examples</w:t>
            </w:r>
            <w:r w:rsidRPr="002B5C3B">
              <w:rPr>
                <w:rFonts w:ascii="Arial" w:hAnsi="Arial" w:cs="Arial"/>
                <w:color w:val="auto"/>
                <w:sz w:val="24"/>
                <w:szCs w:val="24"/>
              </w:rPr>
              <w:t xml:space="preserve"> include: </w:t>
            </w:r>
          </w:p>
          <w:p w:rsidR="009D52DC" w:rsidRPr="00473578" w:rsidRDefault="009D52DC" w:rsidP="009D52DC">
            <w:pPr>
              <w:spacing w:before="120" w:after="120"/>
              <w:rPr>
                <w:rFonts w:ascii="Arial" w:hAnsi="Arial" w:cs="Arial"/>
                <w:i/>
                <w:color w:val="auto"/>
                <w:sz w:val="24"/>
                <w:szCs w:val="24"/>
              </w:rPr>
            </w:pPr>
            <w:r w:rsidRPr="00473578">
              <w:rPr>
                <w:rFonts w:ascii="Arial" w:hAnsi="Arial" w:cs="Arial"/>
                <w:i/>
                <w:color w:val="auto"/>
                <w:sz w:val="24"/>
                <w:szCs w:val="24"/>
              </w:rPr>
              <w:t>London</w:t>
            </w:r>
          </w:p>
          <w:p w:rsidR="009D52DC" w:rsidRDefault="00A25CFC" w:rsidP="00F81D9F">
            <w:pPr>
              <w:pStyle w:val="ListParagraph"/>
              <w:numPr>
                <w:ilvl w:val="0"/>
                <w:numId w:val="19"/>
              </w:numPr>
              <w:spacing w:before="120" w:after="120"/>
              <w:rPr>
                <w:rFonts w:ascii="Arial" w:hAnsi="Arial" w:cs="Arial"/>
                <w:color w:val="auto"/>
                <w:sz w:val="24"/>
              </w:rPr>
            </w:pPr>
            <w:r>
              <w:rPr>
                <w:rFonts w:ascii="Arial" w:hAnsi="Arial" w:cs="Arial"/>
                <w:color w:val="auto"/>
                <w:sz w:val="24"/>
              </w:rPr>
              <w:t>P</w:t>
            </w:r>
            <w:r w:rsidR="009D52DC">
              <w:rPr>
                <w:rFonts w:ascii="Arial" w:hAnsi="Arial" w:cs="Arial"/>
                <w:color w:val="auto"/>
                <w:sz w:val="24"/>
              </w:rPr>
              <w:t xml:space="preserve">roviders (i.e. TB service teams) </w:t>
            </w:r>
            <w:r w:rsidR="003A5EB5">
              <w:rPr>
                <w:rFonts w:ascii="Arial" w:hAnsi="Arial" w:cs="Arial"/>
                <w:color w:val="auto"/>
                <w:sz w:val="24"/>
              </w:rPr>
              <w:t xml:space="preserve">of TB services </w:t>
            </w:r>
            <w:r w:rsidR="009D52DC">
              <w:rPr>
                <w:rFonts w:ascii="Arial" w:hAnsi="Arial" w:cs="Arial"/>
                <w:color w:val="auto"/>
                <w:sz w:val="24"/>
              </w:rPr>
              <w:t>must collaborate and participate in cohort review by sector or part sector on a quarterly basis.</w:t>
            </w:r>
          </w:p>
          <w:p w:rsidR="003A5EB5" w:rsidRPr="003A5EB5" w:rsidRDefault="003A5EB5" w:rsidP="003A5EB5">
            <w:pPr>
              <w:spacing w:before="120" w:after="120"/>
              <w:ind w:left="714"/>
              <w:rPr>
                <w:rFonts w:ascii="Arial" w:hAnsi="Arial" w:cs="Arial"/>
                <w:color w:val="auto"/>
                <w:sz w:val="24"/>
              </w:rPr>
            </w:pPr>
            <w:r>
              <w:rPr>
                <w:rFonts w:ascii="Arial" w:hAnsi="Arial" w:cs="Arial"/>
                <w:color w:val="auto"/>
                <w:sz w:val="24"/>
              </w:rPr>
              <w:t xml:space="preserve">Evidence – PHEC Health Protection Teams report to local commissioners and </w:t>
            </w:r>
            <w:r>
              <w:rPr>
                <w:rFonts w:ascii="Arial" w:hAnsi="Arial" w:cs="Arial"/>
                <w:color w:val="auto"/>
                <w:sz w:val="24"/>
              </w:rPr>
              <w:lastRenderedPageBreak/>
              <w:t xml:space="preserve">TB Control Boards </w:t>
            </w:r>
          </w:p>
          <w:p w:rsidR="009D52DC" w:rsidRDefault="00A25CFC" w:rsidP="00F81D9F">
            <w:pPr>
              <w:pStyle w:val="ListParagraph"/>
              <w:numPr>
                <w:ilvl w:val="0"/>
                <w:numId w:val="19"/>
              </w:numPr>
              <w:spacing w:before="120" w:after="120"/>
              <w:rPr>
                <w:rFonts w:ascii="Arial" w:hAnsi="Arial" w:cs="Arial"/>
                <w:color w:val="auto"/>
                <w:sz w:val="24"/>
              </w:rPr>
            </w:pPr>
            <w:r>
              <w:rPr>
                <w:rFonts w:ascii="Arial" w:hAnsi="Arial" w:cs="Arial"/>
                <w:color w:val="auto"/>
                <w:sz w:val="24"/>
              </w:rPr>
              <w:t>C</w:t>
            </w:r>
            <w:r w:rsidR="009D52DC">
              <w:rPr>
                <w:rFonts w:ascii="Arial" w:hAnsi="Arial" w:cs="Arial"/>
                <w:color w:val="auto"/>
                <w:sz w:val="24"/>
              </w:rPr>
              <w:t>ontact tracing should be effective and comprehensive with an average of 5 close contacts per pulmonary TB notification aspiring to 10 contacts per pulmonary TB notification.</w:t>
            </w:r>
          </w:p>
          <w:p w:rsidR="003A5EB5" w:rsidRPr="003A5EB5" w:rsidRDefault="003A5EB5" w:rsidP="003A5EB5">
            <w:pPr>
              <w:spacing w:before="120" w:after="120"/>
              <w:ind w:left="714"/>
              <w:rPr>
                <w:rFonts w:ascii="Arial" w:hAnsi="Arial" w:cs="Arial"/>
                <w:color w:val="auto"/>
                <w:sz w:val="24"/>
              </w:rPr>
            </w:pPr>
            <w:r>
              <w:rPr>
                <w:rFonts w:ascii="Arial" w:hAnsi="Arial" w:cs="Arial"/>
                <w:color w:val="auto"/>
                <w:sz w:val="24"/>
              </w:rPr>
              <w:t xml:space="preserve">Evidence – PHEC Health Protection Teams report to local commissioners and TB Control Boards </w:t>
            </w:r>
          </w:p>
          <w:p w:rsidR="00DB6EDA" w:rsidRDefault="00DB6EDA" w:rsidP="00DB6EDA">
            <w:pPr>
              <w:spacing w:before="120" w:after="120"/>
              <w:rPr>
                <w:rFonts w:ascii="Arial" w:hAnsi="Arial" w:cs="Arial"/>
                <w:color w:val="auto"/>
                <w:sz w:val="24"/>
              </w:rPr>
            </w:pPr>
            <w:r>
              <w:rPr>
                <w:rFonts w:ascii="Arial" w:hAnsi="Arial" w:cs="Arial"/>
                <w:color w:val="auto"/>
                <w:sz w:val="24"/>
              </w:rPr>
              <w:t>Other examples:</w:t>
            </w:r>
          </w:p>
          <w:p w:rsidR="003A5EB5" w:rsidRDefault="0048109F" w:rsidP="00F81D9F">
            <w:pPr>
              <w:pStyle w:val="ListParagraph"/>
              <w:numPr>
                <w:ilvl w:val="0"/>
                <w:numId w:val="22"/>
              </w:numPr>
              <w:spacing w:before="120" w:after="120"/>
              <w:rPr>
                <w:rFonts w:ascii="Arial" w:hAnsi="Arial" w:cs="Arial"/>
                <w:color w:val="auto"/>
                <w:sz w:val="24"/>
              </w:rPr>
            </w:pPr>
            <w:r>
              <w:rPr>
                <w:rFonts w:ascii="Arial" w:hAnsi="Arial" w:cs="Arial"/>
                <w:color w:val="auto"/>
                <w:sz w:val="24"/>
              </w:rPr>
              <w:t xml:space="preserve">90% of people </w:t>
            </w:r>
            <w:proofErr w:type="gramStart"/>
            <w:r>
              <w:rPr>
                <w:rFonts w:ascii="Arial" w:hAnsi="Arial" w:cs="Arial"/>
                <w:color w:val="auto"/>
                <w:sz w:val="24"/>
              </w:rPr>
              <w:t xml:space="preserve">with </w:t>
            </w:r>
            <w:r w:rsidR="00F058C7">
              <w:rPr>
                <w:rFonts w:ascii="Arial" w:hAnsi="Arial" w:cs="Arial"/>
                <w:color w:val="auto"/>
                <w:sz w:val="24"/>
              </w:rPr>
              <w:t>?</w:t>
            </w:r>
            <w:r>
              <w:rPr>
                <w:rFonts w:ascii="Arial" w:hAnsi="Arial" w:cs="Arial"/>
                <w:color w:val="auto"/>
                <w:sz w:val="24"/>
              </w:rPr>
              <w:t>pulmonary</w:t>
            </w:r>
            <w:proofErr w:type="gramEnd"/>
            <w:r>
              <w:rPr>
                <w:rFonts w:ascii="Arial" w:hAnsi="Arial" w:cs="Arial"/>
                <w:color w:val="auto"/>
                <w:sz w:val="24"/>
              </w:rPr>
              <w:t xml:space="preserve"> (infectious) TB are seen by specialist TB services within two working days of the referral.</w:t>
            </w:r>
          </w:p>
          <w:p w:rsidR="00DB6EDA" w:rsidRPr="003A5EB5" w:rsidRDefault="003A5EB5" w:rsidP="003A5EB5">
            <w:pPr>
              <w:spacing w:before="120" w:after="120"/>
              <w:ind w:left="360"/>
              <w:rPr>
                <w:rFonts w:ascii="Arial" w:hAnsi="Arial" w:cs="Arial"/>
                <w:color w:val="auto"/>
                <w:sz w:val="24"/>
              </w:rPr>
            </w:pPr>
            <w:r>
              <w:rPr>
                <w:rFonts w:ascii="Arial" w:hAnsi="Arial" w:cs="Arial"/>
                <w:color w:val="auto"/>
                <w:sz w:val="24"/>
              </w:rPr>
              <w:t xml:space="preserve">Evidence – PHEC Health Protection Teams report to local commissioners and TB Control Boards </w:t>
            </w:r>
          </w:p>
          <w:p w:rsidR="0080579F" w:rsidRPr="004D098D" w:rsidRDefault="004D098D" w:rsidP="00F81D9F">
            <w:pPr>
              <w:pStyle w:val="ListParagraph"/>
              <w:numPr>
                <w:ilvl w:val="0"/>
                <w:numId w:val="22"/>
              </w:numPr>
              <w:spacing w:before="120" w:after="120"/>
              <w:rPr>
                <w:rFonts w:ascii="Arial" w:hAnsi="Arial" w:cs="Arial"/>
                <w:color w:val="auto"/>
                <w:sz w:val="24"/>
              </w:rPr>
            </w:pPr>
            <w:r>
              <w:rPr>
                <w:rFonts w:ascii="Arial" w:hAnsi="Arial" w:cs="Arial"/>
                <w:color w:val="auto"/>
                <w:sz w:val="24"/>
              </w:rPr>
              <w:t>Other e</w:t>
            </w:r>
            <w:r w:rsidRPr="004D098D">
              <w:rPr>
                <w:rFonts w:ascii="Arial" w:hAnsi="Arial" w:cs="Arial"/>
                <w:color w:val="auto"/>
                <w:sz w:val="24"/>
              </w:rPr>
              <w:t>xamples of p</w:t>
            </w:r>
            <w:r w:rsidR="0080579F" w:rsidRPr="004D098D">
              <w:rPr>
                <w:rFonts w:ascii="Arial" w:hAnsi="Arial" w:cs="Arial"/>
                <w:color w:val="auto"/>
                <w:sz w:val="24"/>
              </w:rPr>
              <w:t>erformance reporting</w:t>
            </w:r>
            <w:r w:rsidRPr="004D098D">
              <w:rPr>
                <w:rFonts w:ascii="Arial" w:hAnsi="Arial" w:cs="Arial"/>
                <w:color w:val="auto"/>
                <w:sz w:val="24"/>
              </w:rPr>
              <w:t xml:space="preserve"> that can be used as </w:t>
            </w:r>
            <w:r>
              <w:rPr>
                <w:rFonts w:ascii="Arial" w:hAnsi="Arial" w:cs="Arial"/>
                <w:color w:val="auto"/>
                <w:sz w:val="24"/>
              </w:rPr>
              <w:t xml:space="preserve">local </w:t>
            </w:r>
            <w:r w:rsidRPr="004D098D">
              <w:rPr>
                <w:rFonts w:ascii="Arial" w:hAnsi="Arial" w:cs="Arial"/>
                <w:color w:val="auto"/>
                <w:sz w:val="24"/>
              </w:rPr>
              <w:t>KPIs</w:t>
            </w:r>
            <w:r w:rsidR="003A5EB5" w:rsidRPr="004D098D">
              <w:rPr>
                <w:rFonts w:ascii="Arial" w:hAnsi="Arial" w:cs="Arial"/>
                <w:color w:val="auto"/>
                <w:sz w:val="24"/>
              </w:rPr>
              <w:t>:</w:t>
            </w:r>
          </w:p>
          <w:p w:rsidR="003A5EB5" w:rsidRPr="004D098D" w:rsidRDefault="005A1A03"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kern w:val="0"/>
                <w:sz w:val="24"/>
              </w:rPr>
              <w:t xml:space="preserve">Six monthly </w:t>
            </w:r>
            <w:r w:rsidRPr="005A1A03">
              <w:rPr>
                <w:rFonts w:ascii="Arial" w:hAnsi="Arial" w:cs="Arial"/>
                <w:color w:val="auto"/>
                <w:kern w:val="0"/>
                <w:sz w:val="24"/>
              </w:rPr>
              <w:t>Health Care Workers raising awareness programme</w:t>
            </w:r>
            <w:r w:rsidRPr="004D098D">
              <w:rPr>
                <w:rFonts w:ascii="Arial" w:hAnsi="Arial" w:cs="Arial"/>
                <w:color w:val="auto"/>
                <w:kern w:val="0"/>
                <w:sz w:val="24"/>
              </w:rPr>
              <w:t xml:space="preserve"> </w:t>
            </w:r>
          </w:p>
          <w:p w:rsidR="004D098D" w:rsidRPr="004D098D" w:rsidRDefault="004D098D" w:rsidP="004D098D">
            <w:pPr>
              <w:spacing w:before="120" w:after="120"/>
              <w:ind w:left="1080"/>
              <w:rPr>
                <w:rFonts w:ascii="Arial" w:hAnsi="Arial" w:cs="Arial"/>
                <w:color w:val="auto"/>
                <w:sz w:val="24"/>
              </w:rPr>
            </w:pPr>
            <w:r>
              <w:rPr>
                <w:rFonts w:ascii="Arial" w:hAnsi="Arial" w:cs="Arial"/>
                <w:color w:val="auto"/>
                <w:sz w:val="24"/>
              </w:rPr>
              <w:t>Evidence: local reporting</w:t>
            </w:r>
          </w:p>
          <w:p w:rsidR="005A1A03" w:rsidRPr="004D098D" w:rsidRDefault="005A1A03"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kern w:val="0"/>
                <w:sz w:val="24"/>
              </w:rPr>
              <w:t xml:space="preserve">Minimum participation in an annual </w:t>
            </w:r>
            <w:r w:rsidR="00A25CFC">
              <w:rPr>
                <w:rFonts w:ascii="Arial" w:hAnsi="Arial" w:cs="Arial"/>
                <w:color w:val="auto"/>
                <w:kern w:val="0"/>
                <w:sz w:val="24"/>
              </w:rPr>
              <w:t>l</w:t>
            </w:r>
            <w:r w:rsidRPr="005A1A03">
              <w:rPr>
                <w:rFonts w:ascii="Arial" w:hAnsi="Arial" w:cs="Arial"/>
                <w:color w:val="auto"/>
                <w:kern w:val="0"/>
                <w:sz w:val="24"/>
              </w:rPr>
              <w:t>ocal population raising awareness programme</w:t>
            </w:r>
          </w:p>
          <w:p w:rsidR="005A1A03" w:rsidRPr="004D098D" w:rsidRDefault="005A1A03" w:rsidP="00F81D9F">
            <w:pPr>
              <w:pStyle w:val="ListParagraph"/>
              <w:numPr>
                <w:ilvl w:val="1"/>
                <w:numId w:val="22"/>
              </w:numPr>
              <w:spacing w:before="120" w:after="120"/>
              <w:rPr>
                <w:rFonts w:ascii="Arial" w:hAnsi="Arial" w:cs="Arial"/>
                <w:color w:val="auto"/>
                <w:sz w:val="24"/>
              </w:rPr>
            </w:pPr>
            <w:r w:rsidRPr="005A1A03">
              <w:rPr>
                <w:rFonts w:ascii="Arial" w:hAnsi="Arial" w:cs="Arial"/>
                <w:color w:val="auto"/>
                <w:kern w:val="0"/>
                <w:sz w:val="24"/>
              </w:rPr>
              <w:t xml:space="preserve">90% </w:t>
            </w:r>
            <w:r w:rsidRPr="004D098D">
              <w:rPr>
                <w:rFonts w:ascii="Arial" w:hAnsi="Arial" w:cs="Arial"/>
                <w:color w:val="auto"/>
                <w:kern w:val="0"/>
                <w:sz w:val="24"/>
              </w:rPr>
              <w:t xml:space="preserve">of referrals to TB services are </w:t>
            </w:r>
            <w:r w:rsidRPr="005A1A03">
              <w:rPr>
                <w:rFonts w:ascii="Arial" w:hAnsi="Arial" w:cs="Arial"/>
                <w:color w:val="auto"/>
                <w:kern w:val="0"/>
                <w:sz w:val="24"/>
              </w:rPr>
              <w:t xml:space="preserve">seen by </w:t>
            </w:r>
            <w:r w:rsidRPr="004D098D">
              <w:rPr>
                <w:rFonts w:ascii="Arial" w:hAnsi="Arial" w:cs="Arial"/>
                <w:color w:val="auto"/>
                <w:kern w:val="0"/>
                <w:sz w:val="24"/>
              </w:rPr>
              <w:t xml:space="preserve">the </w:t>
            </w:r>
            <w:r w:rsidRPr="005A1A03">
              <w:rPr>
                <w:rFonts w:ascii="Arial" w:hAnsi="Arial" w:cs="Arial"/>
                <w:color w:val="auto"/>
                <w:kern w:val="0"/>
                <w:sz w:val="24"/>
              </w:rPr>
              <w:t xml:space="preserve">TB service </w:t>
            </w:r>
            <w:r w:rsidRPr="004D098D">
              <w:rPr>
                <w:rFonts w:ascii="Arial" w:hAnsi="Arial" w:cs="Arial"/>
                <w:color w:val="auto"/>
                <w:kern w:val="0"/>
                <w:sz w:val="24"/>
              </w:rPr>
              <w:t xml:space="preserve">within </w:t>
            </w:r>
            <w:r w:rsidRPr="005A1A03">
              <w:rPr>
                <w:rFonts w:ascii="Arial" w:hAnsi="Arial" w:cs="Arial"/>
                <w:color w:val="auto"/>
                <w:kern w:val="0"/>
                <w:sz w:val="24"/>
              </w:rPr>
              <w:t>2 weeks after referral</w:t>
            </w:r>
          </w:p>
          <w:p w:rsidR="005A1A03" w:rsidRPr="004D098D" w:rsidRDefault="005A1A03"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kern w:val="0"/>
                <w:sz w:val="24"/>
              </w:rPr>
              <w:t>Annual p</w:t>
            </w:r>
            <w:r w:rsidRPr="005A1A03">
              <w:rPr>
                <w:rFonts w:ascii="Arial" w:hAnsi="Arial" w:cs="Arial"/>
                <w:color w:val="auto"/>
                <w:kern w:val="0"/>
                <w:sz w:val="24"/>
              </w:rPr>
              <w:t>atient satisfaction survey carried out</w:t>
            </w:r>
            <w:r w:rsidRPr="004D098D">
              <w:rPr>
                <w:rFonts w:ascii="Arial" w:hAnsi="Arial" w:cs="Arial"/>
                <w:color w:val="auto"/>
                <w:kern w:val="0"/>
                <w:sz w:val="24"/>
              </w:rPr>
              <w:t xml:space="preserve"> by TB service provider</w:t>
            </w:r>
          </w:p>
          <w:p w:rsidR="005A1A03" w:rsidRPr="004D098D" w:rsidRDefault="005A1A03"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sz w:val="24"/>
              </w:rPr>
              <w:t>Year on year decrease in TB rates and numbers</w:t>
            </w:r>
          </w:p>
          <w:p w:rsidR="003A5EB5" w:rsidRPr="004D098D" w:rsidRDefault="003A5EB5"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sz w:val="24"/>
              </w:rPr>
              <w:t>TB treatment completion rates achieved are ≥85%</w:t>
            </w:r>
          </w:p>
          <w:p w:rsidR="003A5EB5" w:rsidRPr="004D098D" w:rsidRDefault="004D098D"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sz w:val="24"/>
              </w:rPr>
              <w:t>Culture confirmation of pulmonary TB cases is ≥80%</w:t>
            </w:r>
          </w:p>
          <w:p w:rsidR="004D098D" w:rsidRPr="004D098D" w:rsidRDefault="004D098D"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sz w:val="24"/>
              </w:rPr>
              <w:t>All culture confirmed cases have drug susceptibility testing for all first line drugs. ≥98%</w:t>
            </w:r>
          </w:p>
          <w:p w:rsidR="004D098D" w:rsidRPr="004D098D" w:rsidRDefault="004D098D" w:rsidP="00F81D9F">
            <w:pPr>
              <w:pStyle w:val="ListParagraph"/>
              <w:numPr>
                <w:ilvl w:val="1"/>
                <w:numId w:val="22"/>
              </w:numPr>
              <w:spacing w:before="120" w:after="120"/>
              <w:rPr>
                <w:rFonts w:ascii="Arial" w:hAnsi="Arial" w:cs="Arial"/>
                <w:color w:val="auto"/>
                <w:sz w:val="24"/>
              </w:rPr>
            </w:pPr>
            <w:r w:rsidRPr="004D098D">
              <w:rPr>
                <w:rFonts w:ascii="Arial" w:hAnsi="Arial" w:cs="Arial"/>
                <w:color w:val="auto"/>
                <w:sz w:val="24"/>
              </w:rPr>
              <w:t>MDR</w:t>
            </w:r>
            <w:r w:rsidR="00A25CFC">
              <w:rPr>
                <w:rFonts w:ascii="Arial" w:hAnsi="Arial" w:cs="Arial"/>
                <w:color w:val="auto"/>
                <w:sz w:val="24"/>
              </w:rPr>
              <w:t>-</w:t>
            </w:r>
            <w:r w:rsidRPr="004D098D">
              <w:rPr>
                <w:rFonts w:ascii="Arial" w:hAnsi="Arial" w:cs="Arial"/>
                <w:color w:val="auto"/>
                <w:sz w:val="24"/>
              </w:rPr>
              <w:t xml:space="preserve">TB cases reported to the BTS </w:t>
            </w:r>
            <w:r w:rsidR="00A25CFC">
              <w:rPr>
                <w:rFonts w:ascii="Arial" w:hAnsi="Arial" w:cs="Arial"/>
                <w:color w:val="auto"/>
                <w:sz w:val="24"/>
              </w:rPr>
              <w:t xml:space="preserve">Clinical </w:t>
            </w:r>
            <w:r w:rsidRPr="004D098D">
              <w:rPr>
                <w:rFonts w:ascii="Arial" w:hAnsi="Arial" w:cs="Arial"/>
                <w:color w:val="auto"/>
                <w:sz w:val="24"/>
              </w:rPr>
              <w:t>Advi</w:t>
            </w:r>
            <w:r w:rsidR="00A25CFC">
              <w:rPr>
                <w:rFonts w:ascii="Arial" w:hAnsi="Arial" w:cs="Arial"/>
                <w:color w:val="auto"/>
                <w:sz w:val="24"/>
              </w:rPr>
              <w:t>ce</w:t>
            </w:r>
            <w:r w:rsidRPr="004D098D">
              <w:rPr>
                <w:rFonts w:ascii="Arial" w:hAnsi="Arial" w:cs="Arial"/>
                <w:color w:val="auto"/>
                <w:sz w:val="24"/>
              </w:rPr>
              <w:t xml:space="preserve"> Service ≥95%</w:t>
            </w:r>
          </w:p>
          <w:p w:rsidR="004D098D" w:rsidRPr="004D098D" w:rsidRDefault="004D098D" w:rsidP="004D098D">
            <w:pPr>
              <w:spacing w:before="120" w:after="120"/>
              <w:ind w:left="1080"/>
              <w:rPr>
                <w:rFonts w:ascii="Arial" w:hAnsi="Arial" w:cs="Arial"/>
                <w:color w:val="auto"/>
                <w:sz w:val="24"/>
                <w:szCs w:val="24"/>
              </w:rPr>
            </w:pPr>
            <w:r w:rsidRPr="004D098D">
              <w:rPr>
                <w:rFonts w:ascii="Arial" w:hAnsi="Arial" w:cs="Arial"/>
                <w:color w:val="auto"/>
                <w:sz w:val="24"/>
                <w:szCs w:val="24"/>
              </w:rPr>
              <w:t>Evidence: BTS and ETS/LTBR</w:t>
            </w:r>
          </w:p>
          <w:p w:rsidR="009D52DC" w:rsidRDefault="009D52DC" w:rsidP="009D52DC">
            <w:pPr>
              <w:spacing w:before="120" w:after="120"/>
              <w:rPr>
                <w:rFonts w:ascii="Arial" w:hAnsi="Arial" w:cs="Arial"/>
                <w:b/>
                <w:color w:val="auto"/>
                <w:sz w:val="24"/>
              </w:rPr>
            </w:pPr>
            <w:r w:rsidRPr="002B5C3B">
              <w:rPr>
                <w:rFonts w:ascii="Arial" w:hAnsi="Arial" w:cs="Arial"/>
                <w:b/>
                <w:color w:val="auto"/>
                <w:sz w:val="24"/>
              </w:rPr>
              <w:t xml:space="preserve">Enhancements </w:t>
            </w:r>
            <w:r>
              <w:rPr>
                <w:rFonts w:ascii="Arial" w:hAnsi="Arial" w:cs="Arial"/>
                <w:b/>
                <w:color w:val="auto"/>
                <w:sz w:val="24"/>
              </w:rPr>
              <w:t>could include</w:t>
            </w:r>
            <w:r w:rsidR="00F77D02">
              <w:rPr>
                <w:rFonts w:ascii="Arial" w:hAnsi="Arial" w:cs="Arial"/>
                <w:b/>
                <w:color w:val="auto"/>
                <w:sz w:val="24"/>
              </w:rPr>
              <w:t xml:space="preserve"> details of:</w:t>
            </w:r>
          </w:p>
          <w:p w:rsidR="009D52DC" w:rsidRPr="00473578" w:rsidRDefault="009D52DC" w:rsidP="009D52DC">
            <w:pPr>
              <w:pStyle w:val="ListParagraph"/>
              <w:numPr>
                <w:ilvl w:val="0"/>
                <w:numId w:val="16"/>
              </w:numPr>
              <w:spacing w:before="120" w:after="120"/>
              <w:rPr>
                <w:rFonts w:ascii="Arial" w:hAnsi="Arial" w:cs="Arial"/>
                <w:color w:val="auto"/>
                <w:sz w:val="24"/>
              </w:rPr>
            </w:pPr>
            <w:r>
              <w:rPr>
                <w:rFonts w:ascii="Arial" w:hAnsi="Arial" w:cs="Arial"/>
                <w:color w:val="auto"/>
                <w:sz w:val="24"/>
              </w:rPr>
              <w:t>TB strategy progress measures</w:t>
            </w:r>
            <w:r w:rsidRPr="00473578">
              <w:rPr>
                <w:rFonts w:ascii="Arial" w:hAnsi="Arial" w:cs="Arial"/>
                <w:color w:val="auto"/>
                <w:sz w:val="24"/>
              </w:rPr>
              <w:t xml:space="preserve"> to monitor implementation of the strategy</w:t>
            </w:r>
          </w:p>
          <w:p w:rsidR="009D52DC" w:rsidRPr="009D52DC" w:rsidRDefault="009D52DC" w:rsidP="009D52DC">
            <w:pPr>
              <w:pStyle w:val="ListParagraph"/>
              <w:numPr>
                <w:ilvl w:val="0"/>
                <w:numId w:val="16"/>
              </w:numPr>
              <w:spacing w:before="120" w:after="120"/>
              <w:rPr>
                <w:rFonts w:ascii="Arial" w:hAnsi="Arial" w:cs="Arial"/>
                <w:color w:val="000000" w:themeColor="text1"/>
                <w:sz w:val="24"/>
              </w:rPr>
            </w:pPr>
            <w:r w:rsidRPr="009D52DC">
              <w:rPr>
                <w:rFonts w:ascii="Arial" w:hAnsi="Arial" w:cs="Arial"/>
                <w:color w:val="auto"/>
                <w:sz w:val="24"/>
              </w:rPr>
              <w:t>Service improvements to reflect best practice</w:t>
            </w:r>
          </w:p>
        </w:tc>
      </w:tr>
      <w:bookmarkEnd w:id="1"/>
    </w:tbl>
    <w:p w:rsidR="008B1BC0" w:rsidRPr="00473578" w:rsidRDefault="008B1BC0" w:rsidP="00B87BA1">
      <w:pPr>
        <w:rPr>
          <w:rFonts w:ascii="Arial" w:hAnsi="Arial" w:cs="Arial"/>
          <w:color w:val="auto"/>
          <w:sz w:val="24"/>
          <w:szCs w:val="24"/>
        </w:rPr>
      </w:pPr>
    </w:p>
    <w:sectPr w:rsidR="008B1BC0" w:rsidRPr="00473578" w:rsidSect="00257B7F">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F52" w:rsidRDefault="00FC3F52" w:rsidP="00923E16">
      <w:pPr>
        <w:spacing w:after="0"/>
      </w:pPr>
      <w:r>
        <w:separator/>
      </w:r>
    </w:p>
  </w:endnote>
  <w:endnote w:type="continuationSeparator" w:id="0">
    <w:p w:rsidR="00FC3F52" w:rsidRDefault="00FC3F52" w:rsidP="00923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572"/>
      <w:docPartObj>
        <w:docPartGallery w:val="Page Numbers (Bottom of Page)"/>
        <w:docPartUnique/>
      </w:docPartObj>
    </w:sdtPr>
    <w:sdtEndPr>
      <w:rPr>
        <w:noProof/>
        <w:color w:val="auto"/>
      </w:rPr>
    </w:sdtEndPr>
    <w:sdtContent>
      <w:p w:rsidR="00FC3F52" w:rsidRPr="0082494A" w:rsidRDefault="00FC3F52">
        <w:pPr>
          <w:pStyle w:val="Footer"/>
          <w:jc w:val="right"/>
          <w:rPr>
            <w:color w:val="auto"/>
          </w:rPr>
        </w:pPr>
        <w:r w:rsidRPr="0082494A">
          <w:rPr>
            <w:color w:val="auto"/>
          </w:rPr>
          <w:fldChar w:fldCharType="begin"/>
        </w:r>
        <w:r w:rsidRPr="0082494A">
          <w:rPr>
            <w:color w:val="auto"/>
          </w:rPr>
          <w:instrText xml:space="preserve"> PAGE   \* MERGEFORMAT </w:instrText>
        </w:r>
        <w:r w:rsidRPr="0082494A">
          <w:rPr>
            <w:color w:val="auto"/>
          </w:rPr>
          <w:fldChar w:fldCharType="separate"/>
        </w:r>
        <w:r w:rsidR="00A25CFC">
          <w:rPr>
            <w:noProof/>
            <w:color w:val="auto"/>
          </w:rPr>
          <w:t>3</w:t>
        </w:r>
        <w:r w:rsidRPr="0082494A">
          <w:rPr>
            <w:noProof/>
            <w:color w:val="auto"/>
          </w:rPr>
          <w:fldChar w:fldCharType="end"/>
        </w:r>
      </w:p>
    </w:sdtContent>
  </w:sdt>
  <w:p w:rsidR="00FC3F52" w:rsidRDefault="00FC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F52" w:rsidRDefault="00FC3F52" w:rsidP="00923E16">
      <w:pPr>
        <w:spacing w:after="0"/>
      </w:pPr>
      <w:r>
        <w:separator/>
      </w:r>
    </w:p>
  </w:footnote>
  <w:footnote w:type="continuationSeparator" w:id="0">
    <w:p w:rsidR="00FC3F52" w:rsidRDefault="00FC3F52" w:rsidP="00923E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791035"/>
      <w:docPartObj>
        <w:docPartGallery w:val="Watermarks"/>
        <w:docPartUnique/>
      </w:docPartObj>
    </w:sdtPr>
    <w:sdtEndPr/>
    <w:sdtContent>
      <w:p w:rsidR="00FC3F52" w:rsidRDefault="00CD62D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3346" o:spid="_x0000_s6145" type="#_x0000_t136" style="position:absolute;margin-left:0;margin-top:0;width:397.65pt;height:238.6pt;rotation:315;z-index:-25165824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3F52" w:rsidTr="002145F1">
      <w:tc>
        <w:tcPr>
          <w:tcW w:w="4621" w:type="dxa"/>
        </w:tcPr>
        <w:p w:rsidR="00FC3F52" w:rsidRDefault="00FC3F52" w:rsidP="00B26C69">
          <w:pPr>
            <w:pStyle w:val="Header"/>
            <w:tabs>
              <w:tab w:val="clear" w:pos="4513"/>
              <w:tab w:val="clear" w:pos="9026"/>
              <w:tab w:val="right" w:pos="4405"/>
            </w:tabs>
          </w:pPr>
          <w:r>
            <w:rPr>
              <w:noProof/>
            </w:rPr>
            <w:ptab w:relativeTo="margin" w:alignment="left" w:leader="none"/>
          </w:r>
          <w:r>
            <w:rPr>
              <w:noProof/>
            </w:rPr>
            <w:tab/>
          </w:r>
        </w:p>
      </w:tc>
      <w:tc>
        <w:tcPr>
          <w:tcW w:w="4621" w:type="dxa"/>
          <w:vAlign w:val="center"/>
        </w:tcPr>
        <w:p w:rsidR="00FC3F52" w:rsidRDefault="00FC3F52" w:rsidP="002145F1">
          <w:pPr>
            <w:pStyle w:val="Header"/>
            <w:tabs>
              <w:tab w:val="left" w:pos="965"/>
              <w:tab w:val="right" w:pos="4405"/>
            </w:tabs>
            <w:jc w:val="right"/>
          </w:pPr>
          <w:r>
            <w:rPr>
              <w:noProof/>
            </w:rPr>
            <w:drawing>
              <wp:anchor distT="0" distB="0" distL="114300" distR="114300" simplePos="0" relativeHeight="251657216" behindDoc="0" locked="0" layoutInCell="1" allowOverlap="1" wp14:anchorId="1025DF42" wp14:editId="17F2A026">
                <wp:simplePos x="0" y="0"/>
                <wp:positionH relativeFrom="column">
                  <wp:posOffset>1483995</wp:posOffset>
                </wp:positionH>
                <wp:positionV relativeFrom="paragraph">
                  <wp:posOffset>-51435</wp:posOffset>
                </wp:positionV>
                <wp:extent cx="1388745" cy="55181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55181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FC3F52" w:rsidRDefault="00FC3F52" w:rsidP="0072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A760FDE"/>
    <w:lvl w:ilvl="0">
      <w:start w:val="1"/>
      <w:numFmt w:val="decimal"/>
      <w:pStyle w:val="ListNumber"/>
      <w:lvlText w:val="%1."/>
      <w:lvlJc w:val="left"/>
      <w:pPr>
        <w:tabs>
          <w:tab w:val="num" w:pos="360"/>
        </w:tabs>
        <w:ind w:left="360" w:hanging="360"/>
      </w:pPr>
    </w:lvl>
  </w:abstractNum>
  <w:abstractNum w:abstractNumId="1" w15:restartNumberingAfterBreak="0">
    <w:nsid w:val="0A2F4C8E"/>
    <w:multiLevelType w:val="hybridMultilevel"/>
    <w:tmpl w:val="4E5C7310"/>
    <w:lvl w:ilvl="0" w:tplc="88EC3F48">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50614"/>
    <w:multiLevelType w:val="hybridMultilevel"/>
    <w:tmpl w:val="3C0C1AA6"/>
    <w:lvl w:ilvl="0" w:tplc="544A0F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F1234"/>
    <w:multiLevelType w:val="hybridMultilevel"/>
    <w:tmpl w:val="1A78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8365A"/>
    <w:multiLevelType w:val="hybridMultilevel"/>
    <w:tmpl w:val="C170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51DD"/>
    <w:multiLevelType w:val="hybridMultilevel"/>
    <w:tmpl w:val="9B9E96EC"/>
    <w:lvl w:ilvl="0" w:tplc="0B4E13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3116"/>
    <w:multiLevelType w:val="hybridMultilevel"/>
    <w:tmpl w:val="877C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E53C7"/>
    <w:multiLevelType w:val="hybridMultilevel"/>
    <w:tmpl w:val="7E6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7579C"/>
    <w:multiLevelType w:val="hybridMultilevel"/>
    <w:tmpl w:val="982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1164F"/>
    <w:multiLevelType w:val="hybridMultilevel"/>
    <w:tmpl w:val="050E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C65BF"/>
    <w:multiLevelType w:val="hybridMultilevel"/>
    <w:tmpl w:val="5B60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06695"/>
    <w:multiLevelType w:val="hybridMultilevel"/>
    <w:tmpl w:val="7938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A0027"/>
    <w:multiLevelType w:val="hybridMultilevel"/>
    <w:tmpl w:val="232CA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23856"/>
    <w:multiLevelType w:val="hybridMultilevel"/>
    <w:tmpl w:val="6BC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D6AA6"/>
    <w:multiLevelType w:val="hybridMultilevel"/>
    <w:tmpl w:val="6040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0F1C"/>
    <w:multiLevelType w:val="hybridMultilevel"/>
    <w:tmpl w:val="ACEA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86E55"/>
    <w:multiLevelType w:val="multilevel"/>
    <w:tmpl w:val="CD3867BE"/>
    <w:lvl w:ilvl="0">
      <w:start w:val="7"/>
      <w:numFmt w:val="decimal"/>
      <w:pStyle w:val="ListNumber"/>
      <w:lvlText w:val="%1."/>
      <w:lvlJc w:val="left"/>
      <w:pPr>
        <w:tabs>
          <w:tab w:val="num" w:pos="1004"/>
        </w:tabs>
        <w:ind w:left="1004" w:hanging="360"/>
      </w:pPr>
      <w:rPr>
        <w:rFonts w:ascii="Arial Bold" w:hAnsi="Arial Bold" w:hint="default"/>
        <w:b/>
        <w:i w:val="0"/>
        <w:sz w:val="22"/>
        <w:szCs w:val="24"/>
      </w:rPr>
    </w:lvl>
    <w:lvl w:ilvl="1">
      <w:start w:val="1"/>
      <w:numFmt w:val="decimal"/>
      <w:lvlText w:val="%1.%2"/>
      <w:lvlJc w:val="left"/>
      <w:pPr>
        <w:tabs>
          <w:tab w:val="num" w:pos="1404"/>
        </w:tabs>
        <w:ind w:left="1404" w:hanging="720"/>
      </w:pPr>
      <w:rPr>
        <w:rFonts w:ascii="Arial" w:hAnsi="Arial" w:hint="default"/>
        <w:b w:val="0"/>
        <w:i w:val="0"/>
        <w:sz w:val="22"/>
      </w:rPr>
    </w:lvl>
    <w:lvl w:ilvl="2">
      <w:start w:val="1"/>
      <w:numFmt w:val="lowerLetter"/>
      <w:lvlText w:val="%3)"/>
      <w:lvlJc w:val="left"/>
      <w:pPr>
        <w:tabs>
          <w:tab w:val="num" w:pos="2138"/>
        </w:tabs>
        <w:ind w:left="2138" w:hanging="720"/>
      </w:pPr>
      <w:rPr>
        <w:rFonts w:ascii="Arial" w:hAnsi="Arial" w:hint="default"/>
        <w:b w:val="0"/>
        <w:i w:val="0"/>
        <w:sz w:val="22"/>
      </w:rPr>
    </w:lvl>
    <w:lvl w:ilvl="3">
      <w:start w:val="1"/>
      <w:numFmt w:val="lowerRoman"/>
      <w:lvlText w:val="%4)"/>
      <w:lvlJc w:val="left"/>
      <w:pPr>
        <w:tabs>
          <w:tab w:val="num" w:pos="2138"/>
        </w:tabs>
        <w:ind w:left="2138" w:hanging="720"/>
      </w:pPr>
      <w:rPr>
        <w:rFonts w:ascii="Arial" w:hAnsi="Arial" w:hint="default"/>
        <w:b w:val="0"/>
        <w:i w:val="0"/>
        <w:sz w:val="22"/>
      </w:rPr>
    </w:lvl>
    <w:lvl w:ilvl="4">
      <w:start w:val="1"/>
      <w:numFmt w:val="bullet"/>
      <w:lvlText w:val=""/>
      <w:lvlJc w:val="left"/>
      <w:pPr>
        <w:tabs>
          <w:tab w:val="num" w:pos="3600"/>
        </w:tabs>
        <w:ind w:left="3600" w:hanging="720"/>
      </w:pPr>
      <w:rPr>
        <w:rFonts w:ascii="Symbol" w:hAnsi="Symbol" w:hint="default"/>
        <w:b w:val="0"/>
        <w:sz w:val="24"/>
      </w:rPr>
    </w:lvl>
    <w:lvl w:ilvl="5">
      <w:start w:val="1"/>
      <w:numFmt w:val="none"/>
      <w:lvlText w:val=""/>
      <w:lvlJc w:val="left"/>
      <w:pPr>
        <w:tabs>
          <w:tab w:val="num" w:pos="4680"/>
        </w:tabs>
        <w:ind w:left="4680" w:hanging="1080"/>
      </w:pPr>
      <w:rPr>
        <w:rFonts w:hint="default"/>
        <w:b w:val="0"/>
      </w:rPr>
    </w:lvl>
    <w:lvl w:ilvl="6">
      <w:start w:val="1"/>
      <w:numFmt w:val="none"/>
      <w:lvlText w:val=""/>
      <w:lvlJc w:val="left"/>
      <w:pPr>
        <w:tabs>
          <w:tab w:val="num" w:pos="5760"/>
        </w:tabs>
        <w:ind w:left="5760" w:hanging="1440"/>
      </w:pPr>
      <w:rPr>
        <w:rFonts w:hint="default"/>
        <w:b w:val="0"/>
      </w:rPr>
    </w:lvl>
    <w:lvl w:ilvl="7">
      <w:start w:val="1"/>
      <w:numFmt w:val="none"/>
      <w:lvlText w:val=""/>
      <w:lvlJc w:val="left"/>
      <w:pPr>
        <w:tabs>
          <w:tab w:val="num" w:pos="6480"/>
        </w:tabs>
        <w:ind w:left="6480" w:hanging="1440"/>
      </w:pPr>
      <w:rPr>
        <w:rFonts w:hint="default"/>
        <w:b w:val="0"/>
      </w:rPr>
    </w:lvl>
    <w:lvl w:ilvl="8">
      <w:start w:val="1"/>
      <w:numFmt w:val="none"/>
      <w:lvlText w:val=""/>
      <w:lvlJc w:val="left"/>
      <w:pPr>
        <w:tabs>
          <w:tab w:val="num" w:pos="7560"/>
        </w:tabs>
        <w:ind w:left="7560" w:hanging="1800"/>
      </w:pPr>
      <w:rPr>
        <w:rFonts w:hint="default"/>
        <w:b w:val="0"/>
      </w:rPr>
    </w:lvl>
  </w:abstractNum>
  <w:abstractNum w:abstractNumId="17" w15:restartNumberingAfterBreak="0">
    <w:nsid w:val="55834FAE"/>
    <w:multiLevelType w:val="hybridMultilevel"/>
    <w:tmpl w:val="61EE5308"/>
    <w:lvl w:ilvl="0" w:tplc="EBD27D6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92DAE"/>
    <w:multiLevelType w:val="hybridMultilevel"/>
    <w:tmpl w:val="3576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906CE"/>
    <w:multiLevelType w:val="hybridMultilevel"/>
    <w:tmpl w:val="C90434BA"/>
    <w:lvl w:ilvl="0" w:tplc="85EC2872">
      <w:start w:val="1"/>
      <w:numFmt w:val="bullet"/>
      <w:lvlText w:val=""/>
      <w:lvlJc w:val="left"/>
      <w:pPr>
        <w:ind w:left="788" w:hanging="360"/>
      </w:pPr>
      <w:rPr>
        <w:rFonts w:ascii="Symbol" w:hAnsi="Symbol" w:hint="default"/>
      </w:rPr>
    </w:lvl>
    <w:lvl w:ilvl="1" w:tplc="85EC2872">
      <w:start w:val="1"/>
      <w:numFmt w:val="bullet"/>
      <w:lvlText w:val=""/>
      <w:lvlJc w:val="left"/>
      <w:pPr>
        <w:ind w:left="1508" w:hanging="360"/>
      </w:pPr>
      <w:rPr>
        <w:rFonts w:ascii="Symbol" w:hAnsi="Symbol"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658A1CE3"/>
    <w:multiLevelType w:val="hybridMultilevel"/>
    <w:tmpl w:val="BFFCD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5811D7"/>
    <w:multiLevelType w:val="hybridMultilevel"/>
    <w:tmpl w:val="2C8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41AB1"/>
    <w:multiLevelType w:val="hybridMultilevel"/>
    <w:tmpl w:val="6C6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5"/>
  </w:num>
  <w:num w:numId="5">
    <w:abstractNumId w:val="4"/>
  </w:num>
  <w:num w:numId="6">
    <w:abstractNumId w:val="10"/>
  </w:num>
  <w:num w:numId="7">
    <w:abstractNumId w:val="11"/>
  </w:num>
  <w:num w:numId="8">
    <w:abstractNumId w:val="9"/>
  </w:num>
  <w:num w:numId="9">
    <w:abstractNumId w:val="21"/>
  </w:num>
  <w:num w:numId="10">
    <w:abstractNumId w:val="17"/>
  </w:num>
  <w:num w:numId="11">
    <w:abstractNumId w:val="22"/>
  </w:num>
  <w:num w:numId="12">
    <w:abstractNumId w:val="19"/>
  </w:num>
  <w:num w:numId="13">
    <w:abstractNumId w:val="7"/>
  </w:num>
  <w:num w:numId="14">
    <w:abstractNumId w:val="13"/>
  </w:num>
  <w:num w:numId="15">
    <w:abstractNumId w:val="3"/>
  </w:num>
  <w:num w:numId="16">
    <w:abstractNumId w:val="5"/>
  </w:num>
  <w:num w:numId="17">
    <w:abstractNumId w:val="6"/>
  </w:num>
  <w:num w:numId="18">
    <w:abstractNumId w:val="12"/>
  </w:num>
  <w:num w:numId="19">
    <w:abstractNumId w:val="2"/>
  </w:num>
  <w:num w:numId="20">
    <w:abstractNumId w:val="20"/>
  </w:num>
  <w:num w:numId="21">
    <w:abstractNumId w:val="18"/>
  </w:num>
  <w:num w:numId="22">
    <w:abstractNumId w:val="1"/>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8C"/>
    <w:rsid w:val="00001F28"/>
    <w:rsid w:val="0000401B"/>
    <w:rsid w:val="000231EA"/>
    <w:rsid w:val="00025B68"/>
    <w:rsid w:val="000336C6"/>
    <w:rsid w:val="00035BF9"/>
    <w:rsid w:val="00037BC4"/>
    <w:rsid w:val="000526AE"/>
    <w:rsid w:val="00061DD2"/>
    <w:rsid w:val="00073000"/>
    <w:rsid w:val="00073D91"/>
    <w:rsid w:val="000C1812"/>
    <w:rsid w:val="000C18E1"/>
    <w:rsid w:val="000C4388"/>
    <w:rsid w:val="000C7B71"/>
    <w:rsid w:val="000D344A"/>
    <w:rsid w:val="000D6082"/>
    <w:rsid w:val="000D627F"/>
    <w:rsid w:val="000E7AA4"/>
    <w:rsid w:val="000F0D5A"/>
    <w:rsid w:val="00103BA3"/>
    <w:rsid w:val="001109DD"/>
    <w:rsid w:val="001246E2"/>
    <w:rsid w:val="00132D99"/>
    <w:rsid w:val="001343C4"/>
    <w:rsid w:val="0016319E"/>
    <w:rsid w:val="00165597"/>
    <w:rsid w:val="001679D9"/>
    <w:rsid w:val="001760B5"/>
    <w:rsid w:val="00180D98"/>
    <w:rsid w:val="0018231F"/>
    <w:rsid w:val="0018439C"/>
    <w:rsid w:val="00187A2D"/>
    <w:rsid w:val="00195ACE"/>
    <w:rsid w:val="00196F5D"/>
    <w:rsid w:val="001A456A"/>
    <w:rsid w:val="001A4609"/>
    <w:rsid w:val="001A4E99"/>
    <w:rsid w:val="001B557D"/>
    <w:rsid w:val="001C3806"/>
    <w:rsid w:val="001D15EA"/>
    <w:rsid w:val="001F1778"/>
    <w:rsid w:val="001F7E7B"/>
    <w:rsid w:val="00203AC3"/>
    <w:rsid w:val="002145F1"/>
    <w:rsid w:val="00232B67"/>
    <w:rsid w:val="00246001"/>
    <w:rsid w:val="00257B7F"/>
    <w:rsid w:val="0026372D"/>
    <w:rsid w:val="00264684"/>
    <w:rsid w:val="00267201"/>
    <w:rsid w:val="00273526"/>
    <w:rsid w:val="002776CA"/>
    <w:rsid w:val="00283468"/>
    <w:rsid w:val="0028372A"/>
    <w:rsid w:val="002965C4"/>
    <w:rsid w:val="0029730F"/>
    <w:rsid w:val="002A31E6"/>
    <w:rsid w:val="002A64D5"/>
    <w:rsid w:val="002B47FD"/>
    <w:rsid w:val="002B4C0D"/>
    <w:rsid w:val="002B583C"/>
    <w:rsid w:val="002B5C3B"/>
    <w:rsid w:val="002C461F"/>
    <w:rsid w:val="002D2829"/>
    <w:rsid w:val="002E1E8E"/>
    <w:rsid w:val="002E2CA9"/>
    <w:rsid w:val="002F69FE"/>
    <w:rsid w:val="00301326"/>
    <w:rsid w:val="0030204E"/>
    <w:rsid w:val="00313C03"/>
    <w:rsid w:val="00315B88"/>
    <w:rsid w:val="0032105D"/>
    <w:rsid w:val="00326C7B"/>
    <w:rsid w:val="0033563B"/>
    <w:rsid w:val="00355BCE"/>
    <w:rsid w:val="00356195"/>
    <w:rsid w:val="003703E0"/>
    <w:rsid w:val="00376A04"/>
    <w:rsid w:val="00385A58"/>
    <w:rsid w:val="0038608B"/>
    <w:rsid w:val="00392F04"/>
    <w:rsid w:val="003976C1"/>
    <w:rsid w:val="003A0395"/>
    <w:rsid w:val="003A24D2"/>
    <w:rsid w:val="003A5EB5"/>
    <w:rsid w:val="003C0CAA"/>
    <w:rsid w:val="003C5BCA"/>
    <w:rsid w:val="003E3099"/>
    <w:rsid w:val="003E4426"/>
    <w:rsid w:val="0040083E"/>
    <w:rsid w:val="004168AC"/>
    <w:rsid w:val="00432AFB"/>
    <w:rsid w:val="00433737"/>
    <w:rsid w:val="004404E9"/>
    <w:rsid w:val="00447189"/>
    <w:rsid w:val="00473578"/>
    <w:rsid w:val="0047543F"/>
    <w:rsid w:val="00475440"/>
    <w:rsid w:val="0048109F"/>
    <w:rsid w:val="00486FDE"/>
    <w:rsid w:val="00490ECE"/>
    <w:rsid w:val="00493645"/>
    <w:rsid w:val="004A612A"/>
    <w:rsid w:val="004A6769"/>
    <w:rsid w:val="004C66F9"/>
    <w:rsid w:val="004D098D"/>
    <w:rsid w:val="004F5BE3"/>
    <w:rsid w:val="004F5F82"/>
    <w:rsid w:val="004F67C7"/>
    <w:rsid w:val="004F7F18"/>
    <w:rsid w:val="005274AF"/>
    <w:rsid w:val="0053313F"/>
    <w:rsid w:val="005331E2"/>
    <w:rsid w:val="00537356"/>
    <w:rsid w:val="00542992"/>
    <w:rsid w:val="005445E5"/>
    <w:rsid w:val="005450E5"/>
    <w:rsid w:val="00547F2F"/>
    <w:rsid w:val="005747D8"/>
    <w:rsid w:val="0057523F"/>
    <w:rsid w:val="005826FA"/>
    <w:rsid w:val="005848AC"/>
    <w:rsid w:val="005908F9"/>
    <w:rsid w:val="005A1A03"/>
    <w:rsid w:val="005A6FCF"/>
    <w:rsid w:val="005B0F52"/>
    <w:rsid w:val="005B7669"/>
    <w:rsid w:val="005C5007"/>
    <w:rsid w:val="005D52E0"/>
    <w:rsid w:val="005E27B5"/>
    <w:rsid w:val="005F45F2"/>
    <w:rsid w:val="005F6CF9"/>
    <w:rsid w:val="00600E1E"/>
    <w:rsid w:val="00602BE7"/>
    <w:rsid w:val="00616278"/>
    <w:rsid w:val="00621597"/>
    <w:rsid w:val="006351A7"/>
    <w:rsid w:val="0065423C"/>
    <w:rsid w:val="00656B67"/>
    <w:rsid w:val="00662D59"/>
    <w:rsid w:val="0067189E"/>
    <w:rsid w:val="006726E5"/>
    <w:rsid w:val="00672EA2"/>
    <w:rsid w:val="00686F0D"/>
    <w:rsid w:val="00694D03"/>
    <w:rsid w:val="00697ECD"/>
    <w:rsid w:val="006A5AD8"/>
    <w:rsid w:val="006C258E"/>
    <w:rsid w:val="006C794A"/>
    <w:rsid w:val="006D1E7B"/>
    <w:rsid w:val="006E1822"/>
    <w:rsid w:val="006E37E6"/>
    <w:rsid w:val="006F0DB4"/>
    <w:rsid w:val="006F1935"/>
    <w:rsid w:val="00704831"/>
    <w:rsid w:val="00710C50"/>
    <w:rsid w:val="007133FB"/>
    <w:rsid w:val="00723012"/>
    <w:rsid w:val="00727A95"/>
    <w:rsid w:val="00745719"/>
    <w:rsid w:val="00774B3A"/>
    <w:rsid w:val="00791C69"/>
    <w:rsid w:val="0079472B"/>
    <w:rsid w:val="00797DA9"/>
    <w:rsid w:val="007D2565"/>
    <w:rsid w:val="007D3E71"/>
    <w:rsid w:val="007E0EA9"/>
    <w:rsid w:val="007E1B52"/>
    <w:rsid w:val="007F2C69"/>
    <w:rsid w:val="008032B8"/>
    <w:rsid w:val="0080579F"/>
    <w:rsid w:val="00812E10"/>
    <w:rsid w:val="008201E7"/>
    <w:rsid w:val="0082494A"/>
    <w:rsid w:val="008353EC"/>
    <w:rsid w:val="00835A77"/>
    <w:rsid w:val="0084001C"/>
    <w:rsid w:val="00840962"/>
    <w:rsid w:val="00843F32"/>
    <w:rsid w:val="008566FC"/>
    <w:rsid w:val="00857182"/>
    <w:rsid w:val="008610FD"/>
    <w:rsid w:val="008639C1"/>
    <w:rsid w:val="00870225"/>
    <w:rsid w:val="008768B0"/>
    <w:rsid w:val="0088413B"/>
    <w:rsid w:val="00894950"/>
    <w:rsid w:val="008A152F"/>
    <w:rsid w:val="008B1BC0"/>
    <w:rsid w:val="008B4CBC"/>
    <w:rsid w:val="008C5A1A"/>
    <w:rsid w:val="008D1533"/>
    <w:rsid w:val="008D276C"/>
    <w:rsid w:val="008D49C8"/>
    <w:rsid w:val="008D5BE2"/>
    <w:rsid w:val="008E42E3"/>
    <w:rsid w:val="008F05C0"/>
    <w:rsid w:val="008F3A09"/>
    <w:rsid w:val="008F3EDD"/>
    <w:rsid w:val="008F6999"/>
    <w:rsid w:val="00900A1B"/>
    <w:rsid w:val="0090541D"/>
    <w:rsid w:val="00905B5D"/>
    <w:rsid w:val="009117C2"/>
    <w:rsid w:val="00912209"/>
    <w:rsid w:val="0092142A"/>
    <w:rsid w:val="00923E16"/>
    <w:rsid w:val="0092768D"/>
    <w:rsid w:val="00934B13"/>
    <w:rsid w:val="00940CAB"/>
    <w:rsid w:val="00944643"/>
    <w:rsid w:val="00945B37"/>
    <w:rsid w:val="00962FDF"/>
    <w:rsid w:val="009656D9"/>
    <w:rsid w:val="00971C93"/>
    <w:rsid w:val="00974232"/>
    <w:rsid w:val="00987C5E"/>
    <w:rsid w:val="00993416"/>
    <w:rsid w:val="00993E25"/>
    <w:rsid w:val="0099750F"/>
    <w:rsid w:val="009A5B98"/>
    <w:rsid w:val="009C3F42"/>
    <w:rsid w:val="009C6F81"/>
    <w:rsid w:val="009D1208"/>
    <w:rsid w:val="009D52DC"/>
    <w:rsid w:val="009D5E1F"/>
    <w:rsid w:val="009E077F"/>
    <w:rsid w:val="009E7D5B"/>
    <w:rsid w:val="009F0E10"/>
    <w:rsid w:val="00A25CFC"/>
    <w:rsid w:val="00A27921"/>
    <w:rsid w:val="00A36AD6"/>
    <w:rsid w:val="00A36EC2"/>
    <w:rsid w:val="00A41AFE"/>
    <w:rsid w:val="00A44D1B"/>
    <w:rsid w:val="00A45A56"/>
    <w:rsid w:val="00A45E63"/>
    <w:rsid w:val="00A47FBF"/>
    <w:rsid w:val="00A54650"/>
    <w:rsid w:val="00A556BE"/>
    <w:rsid w:val="00A6616E"/>
    <w:rsid w:val="00A768AD"/>
    <w:rsid w:val="00A9018A"/>
    <w:rsid w:val="00A95F21"/>
    <w:rsid w:val="00AA16B1"/>
    <w:rsid w:val="00AA7532"/>
    <w:rsid w:val="00AB2E28"/>
    <w:rsid w:val="00AE7796"/>
    <w:rsid w:val="00B16D43"/>
    <w:rsid w:val="00B231D4"/>
    <w:rsid w:val="00B26C69"/>
    <w:rsid w:val="00B34274"/>
    <w:rsid w:val="00B372B8"/>
    <w:rsid w:val="00B51FF9"/>
    <w:rsid w:val="00B54A12"/>
    <w:rsid w:val="00B6095F"/>
    <w:rsid w:val="00B725DB"/>
    <w:rsid w:val="00B73D6A"/>
    <w:rsid w:val="00B81F8C"/>
    <w:rsid w:val="00B865EF"/>
    <w:rsid w:val="00B87BA1"/>
    <w:rsid w:val="00BA3198"/>
    <w:rsid w:val="00BA5AED"/>
    <w:rsid w:val="00BB5AC2"/>
    <w:rsid w:val="00BC35B7"/>
    <w:rsid w:val="00BD7097"/>
    <w:rsid w:val="00BE05E7"/>
    <w:rsid w:val="00BE32BC"/>
    <w:rsid w:val="00BF01AB"/>
    <w:rsid w:val="00C00B8F"/>
    <w:rsid w:val="00C03E86"/>
    <w:rsid w:val="00C057C0"/>
    <w:rsid w:val="00C0739A"/>
    <w:rsid w:val="00C207D4"/>
    <w:rsid w:val="00C33108"/>
    <w:rsid w:val="00C372BB"/>
    <w:rsid w:val="00C37A6B"/>
    <w:rsid w:val="00C45F76"/>
    <w:rsid w:val="00C535FF"/>
    <w:rsid w:val="00C576E7"/>
    <w:rsid w:val="00C62A61"/>
    <w:rsid w:val="00C718D0"/>
    <w:rsid w:val="00C74006"/>
    <w:rsid w:val="00C77B5B"/>
    <w:rsid w:val="00C8227A"/>
    <w:rsid w:val="00C84C74"/>
    <w:rsid w:val="00CA4E31"/>
    <w:rsid w:val="00CB466A"/>
    <w:rsid w:val="00CC3D5C"/>
    <w:rsid w:val="00CC6275"/>
    <w:rsid w:val="00CC7CFB"/>
    <w:rsid w:val="00CD62D4"/>
    <w:rsid w:val="00CE6080"/>
    <w:rsid w:val="00D0544F"/>
    <w:rsid w:val="00D11DFA"/>
    <w:rsid w:val="00D173FF"/>
    <w:rsid w:val="00D50578"/>
    <w:rsid w:val="00D62698"/>
    <w:rsid w:val="00D86BBA"/>
    <w:rsid w:val="00DA5124"/>
    <w:rsid w:val="00DB6EDA"/>
    <w:rsid w:val="00DB7653"/>
    <w:rsid w:val="00DD5AB0"/>
    <w:rsid w:val="00E16DC5"/>
    <w:rsid w:val="00E23A5B"/>
    <w:rsid w:val="00E2604B"/>
    <w:rsid w:val="00E35083"/>
    <w:rsid w:val="00E40790"/>
    <w:rsid w:val="00E45319"/>
    <w:rsid w:val="00E54AEC"/>
    <w:rsid w:val="00E6275D"/>
    <w:rsid w:val="00E647B7"/>
    <w:rsid w:val="00E66590"/>
    <w:rsid w:val="00E80CC3"/>
    <w:rsid w:val="00E93B35"/>
    <w:rsid w:val="00E97DE1"/>
    <w:rsid w:val="00EA00FE"/>
    <w:rsid w:val="00EC64B5"/>
    <w:rsid w:val="00EE34D1"/>
    <w:rsid w:val="00EF3FD6"/>
    <w:rsid w:val="00EF65A7"/>
    <w:rsid w:val="00F00327"/>
    <w:rsid w:val="00F02767"/>
    <w:rsid w:val="00F058C7"/>
    <w:rsid w:val="00F12841"/>
    <w:rsid w:val="00F26CED"/>
    <w:rsid w:val="00F3312C"/>
    <w:rsid w:val="00F34680"/>
    <w:rsid w:val="00F47F32"/>
    <w:rsid w:val="00F55EAA"/>
    <w:rsid w:val="00F574F8"/>
    <w:rsid w:val="00F60C74"/>
    <w:rsid w:val="00F6549F"/>
    <w:rsid w:val="00F65FFF"/>
    <w:rsid w:val="00F70554"/>
    <w:rsid w:val="00F71EF8"/>
    <w:rsid w:val="00F72244"/>
    <w:rsid w:val="00F73D6F"/>
    <w:rsid w:val="00F77D02"/>
    <w:rsid w:val="00F81D9F"/>
    <w:rsid w:val="00F81FF7"/>
    <w:rsid w:val="00F94062"/>
    <w:rsid w:val="00FA30D4"/>
    <w:rsid w:val="00FB0BA7"/>
    <w:rsid w:val="00FC3F52"/>
    <w:rsid w:val="00FC76D8"/>
    <w:rsid w:val="00FD2490"/>
    <w:rsid w:val="00FD2555"/>
    <w:rsid w:val="00FD42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5:docId w15:val="{6C25FFCE-1B45-4BAE-9D48-9755CDB0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Mangal"/>
        <w:color w:val="0000FF"/>
        <w:kern w:val="3"/>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8C"/>
    <w:pPr>
      <w:spacing w:line="240" w:lineRule="auto"/>
    </w:pPr>
  </w:style>
  <w:style w:type="paragraph" w:styleId="Heading1">
    <w:name w:val="heading 1"/>
    <w:basedOn w:val="Normal"/>
    <w:next w:val="Normal"/>
    <w:link w:val="Heading1Char"/>
    <w:uiPriority w:val="9"/>
    <w:qFormat/>
    <w:rsid w:val="00B81F8C"/>
    <w:pPr>
      <w:spacing w:after="0" w:line="660" w:lineRule="exact"/>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F8C"/>
    <w:rPr>
      <w:rFonts w:ascii="Arial" w:eastAsiaTheme="minorEastAsia" w:hAnsi="Arial" w:cs="Arial"/>
      <w:b/>
      <w:sz w:val="28"/>
      <w:szCs w:val="28"/>
    </w:rPr>
  </w:style>
  <w:style w:type="table" w:styleId="TableGrid">
    <w:name w:val="Table Grid"/>
    <w:basedOn w:val="TableNormal"/>
    <w:uiPriority w:val="59"/>
    <w:rsid w:val="00B81F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F8C"/>
    <w:pPr>
      <w:spacing w:after="0"/>
      <w:ind w:left="720"/>
    </w:pPr>
    <w:rPr>
      <w:rFonts w:ascii="Times New Roman" w:eastAsia="Times New Roman" w:hAnsi="Times New Roman" w:cs="Times New Roman"/>
      <w:szCs w:val="24"/>
      <w:lang w:eastAsia="en-GB"/>
    </w:rPr>
  </w:style>
  <w:style w:type="paragraph" w:customStyle="1" w:styleId="Standard">
    <w:name w:val="Standard"/>
    <w:rsid w:val="007F2C69"/>
    <w:pPr>
      <w:suppressAutoHyphens/>
      <w:autoSpaceDN w:val="0"/>
      <w:spacing w:after="0" w:line="240" w:lineRule="auto"/>
      <w:textAlignment w:val="baseline"/>
    </w:pPr>
    <w:rPr>
      <w:rFonts w:ascii="Times New Roman" w:eastAsia="Lucida Sans Unicode" w:hAnsi="Times New Roman" w:cs="Arial"/>
      <w:color w:val="000000"/>
      <w:sz w:val="24"/>
      <w:szCs w:val="24"/>
      <w:lang w:eastAsia="zh-CN" w:bidi="hi-IN"/>
    </w:rPr>
  </w:style>
  <w:style w:type="character" w:styleId="CommentReference">
    <w:name w:val="annotation reference"/>
    <w:basedOn w:val="DefaultParagraphFont"/>
    <w:uiPriority w:val="99"/>
    <w:semiHidden/>
    <w:unhideWhenUsed/>
    <w:rsid w:val="007F2C69"/>
    <w:rPr>
      <w:sz w:val="16"/>
      <w:szCs w:val="16"/>
    </w:rPr>
  </w:style>
  <w:style w:type="paragraph" w:styleId="CommentText">
    <w:name w:val="annotation text"/>
    <w:basedOn w:val="Normal"/>
    <w:link w:val="CommentTextChar"/>
    <w:uiPriority w:val="99"/>
    <w:unhideWhenUsed/>
    <w:rsid w:val="007F2C69"/>
    <w:pPr>
      <w:widowControl w:val="0"/>
      <w:suppressAutoHyphens/>
      <w:autoSpaceDN w:val="0"/>
      <w:spacing w:after="0"/>
      <w:textAlignment w:val="baseline"/>
    </w:pPr>
    <w:rPr>
      <w:rFonts w:ascii="Times New Roman" w:eastAsia="Lucida Sans Unicode" w:hAnsi="Times New Roman"/>
      <w:sz w:val="20"/>
      <w:szCs w:val="18"/>
      <w:lang w:eastAsia="zh-CN" w:bidi="hi-IN"/>
    </w:rPr>
  </w:style>
  <w:style w:type="character" w:customStyle="1" w:styleId="CommentTextChar">
    <w:name w:val="Comment Text Char"/>
    <w:basedOn w:val="DefaultParagraphFont"/>
    <w:link w:val="CommentText"/>
    <w:uiPriority w:val="99"/>
    <w:rsid w:val="007F2C69"/>
    <w:rPr>
      <w:rFonts w:ascii="Times New Roman" w:eastAsia="Lucida Sans Unicode" w:hAnsi="Times New Roman" w:cs="Mangal"/>
      <w:kern w:val="3"/>
      <w:sz w:val="20"/>
      <w:szCs w:val="18"/>
      <w:lang w:eastAsia="zh-CN" w:bidi="hi-IN"/>
    </w:rPr>
  </w:style>
  <w:style w:type="paragraph" w:styleId="BalloonText">
    <w:name w:val="Balloon Text"/>
    <w:basedOn w:val="Normal"/>
    <w:link w:val="BalloonTextChar"/>
    <w:uiPriority w:val="99"/>
    <w:semiHidden/>
    <w:unhideWhenUsed/>
    <w:rsid w:val="007F2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69"/>
    <w:rPr>
      <w:rFonts w:ascii="Tahoma" w:eastAsiaTheme="minorEastAsia" w:hAnsi="Tahoma" w:cs="Tahoma"/>
      <w:sz w:val="16"/>
      <w:szCs w:val="16"/>
      <w:lang w:val="en-US" w:eastAsia="ja-JP"/>
    </w:rPr>
  </w:style>
  <w:style w:type="paragraph" w:styleId="ListNumber">
    <w:name w:val="List Number"/>
    <w:basedOn w:val="Normal"/>
    <w:uiPriority w:val="99"/>
    <w:semiHidden/>
    <w:rsid w:val="009C3F42"/>
    <w:pPr>
      <w:numPr>
        <w:numId w:val="1"/>
      </w:numPr>
      <w:spacing w:after="0" w:line="312" w:lineRule="auto"/>
      <w:contextualSpacing/>
    </w:pPr>
    <w:rPr>
      <w:rFonts w:ascii="Arial" w:eastAsia="Calibri" w:hAnsi="Arial" w:cs="Times New Roman"/>
    </w:rPr>
  </w:style>
  <w:style w:type="character" w:styleId="Hyperlink">
    <w:name w:val="Hyperlink"/>
    <w:basedOn w:val="DefaultParagraphFont"/>
    <w:uiPriority w:val="99"/>
    <w:unhideWhenUsed/>
    <w:rsid w:val="009C3F42"/>
    <w:rPr>
      <w:color w:val="0000FF" w:themeColor="hyperlink"/>
      <w:u w:val="single"/>
    </w:rPr>
  </w:style>
  <w:style w:type="paragraph" w:customStyle="1" w:styleId="Default">
    <w:name w:val="Default"/>
    <w:rsid w:val="00CE60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23E16"/>
    <w:pPr>
      <w:tabs>
        <w:tab w:val="center" w:pos="4513"/>
        <w:tab w:val="right" w:pos="9026"/>
      </w:tabs>
      <w:spacing w:after="0"/>
    </w:pPr>
  </w:style>
  <w:style w:type="character" w:customStyle="1" w:styleId="HeaderChar">
    <w:name w:val="Header Char"/>
    <w:basedOn w:val="DefaultParagraphFont"/>
    <w:link w:val="Header"/>
    <w:uiPriority w:val="99"/>
    <w:rsid w:val="00923E16"/>
    <w:rPr>
      <w:rFonts w:eastAsiaTheme="minorEastAsia"/>
      <w:sz w:val="24"/>
      <w:szCs w:val="20"/>
      <w:lang w:val="en-US" w:eastAsia="ja-JP"/>
    </w:rPr>
  </w:style>
  <w:style w:type="paragraph" w:styleId="Footer">
    <w:name w:val="footer"/>
    <w:basedOn w:val="Normal"/>
    <w:link w:val="FooterChar"/>
    <w:uiPriority w:val="99"/>
    <w:unhideWhenUsed/>
    <w:rsid w:val="00923E16"/>
    <w:pPr>
      <w:tabs>
        <w:tab w:val="center" w:pos="4513"/>
        <w:tab w:val="right" w:pos="9026"/>
      </w:tabs>
      <w:spacing w:after="0"/>
    </w:pPr>
  </w:style>
  <w:style w:type="character" w:customStyle="1" w:styleId="FooterChar">
    <w:name w:val="Footer Char"/>
    <w:basedOn w:val="DefaultParagraphFont"/>
    <w:link w:val="Footer"/>
    <w:uiPriority w:val="99"/>
    <w:rsid w:val="00923E16"/>
    <w:rPr>
      <w:rFonts w:eastAsiaTheme="minorEastAsia"/>
      <w:sz w:val="24"/>
      <w:szCs w:val="20"/>
      <w:lang w:val="en-US" w:eastAsia="ja-JP"/>
    </w:rPr>
  </w:style>
  <w:style w:type="paragraph" w:customStyle="1" w:styleId="DHTitle">
    <w:name w:val="DH Title"/>
    <w:basedOn w:val="Default"/>
    <w:next w:val="Default"/>
    <w:uiPriority w:val="99"/>
    <w:rsid w:val="0026372D"/>
    <w:rPr>
      <w:rFonts w:eastAsia="Lucida Sans Unicode"/>
      <w:color w:val="auto"/>
      <w:lang w:eastAsia="zh-CN"/>
    </w:rPr>
  </w:style>
  <w:style w:type="paragraph" w:styleId="CommentSubject">
    <w:name w:val="annotation subject"/>
    <w:basedOn w:val="CommentText"/>
    <w:next w:val="CommentText"/>
    <w:link w:val="CommentSubjectChar"/>
    <w:uiPriority w:val="99"/>
    <w:semiHidden/>
    <w:unhideWhenUsed/>
    <w:rsid w:val="00A9018A"/>
    <w:pPr>
      <w:widowControl/>
      <w:suppressAutoHyphens w:val="0"/>
      <w:autoSpaceDN/>
      <w:spacing w:after="200"/>
      <w:textAlignment w:val="auto"/>
    </w:pPr>
    <w:rPr>
      <w:rFonts w:asciiTheme="minorHAnsi" w:eastAsiaTheme="minorEastAsia" w:hAnsiTheme="minorHAnsi" w:cstheme="minorBidi"/>
      <w:b/>
      <w:bCs/>
      <w:kern w:val="0"/>
      <w:szCs w:val="20"/>
      <w:lang w:val="en-US" w:eastAsia="ja-JP" w:bidi="ar-SA"/>
    </w:rPr>
  </w:style>
  <w:style w:type="character" w:customStyle="1" w:styleId="CommentSubjectChar">
    <w:name w:val="Comment Subject Char"/>
    <w:basedOn w:val="CommentTextChar"/>
    <w:link w:val="CommentSubject"/>
    <w:uiPriority w:val="99"/>
    <w:semiHidden/>
    <w:rsid w:val="00A9018A"/>
    <w:rPr>
      <w:rFonts w:ascii="Times New Roman" w:eastAsiaTheme="minorEastAsia" w:hAnsi="Times New Roman" w:cs="Mangal"/>
      <w:b/>
      <w:bCs/>
      <w:kern w:val="3"/>
      <w:sz w:val="20"/>
      <w:szCs w:val="20"/>
      <w:lang w:val="en-US" w:eastAsia="ja-JP" w:bidi="hi-IN"/>
    </w:rPr>
  </w:style>
  <w:style w:type="character" w:styleId="FollowedHyperlink">
    <w:name w:val="FollowedHyperlink"/>
    <w:basedOn w:val="DefaultParagraphFont"/>
    <w:uiPriority w:val="99"/>
    <w:semiHidden/>
    <w:unhideWhenUsed/>
    <w:rsid w:val="00F70554"/>
    <w:rPr>
      <w:color w:val="800080" w:themeColor="followedHyperlink"/>
      <w:u w:val="single"/>
    </w:rPr>
  </w:style>
  <w:style w:type="paragraph" w:styleId="Revision">
    <w:name w:val="Revision"/>
    <w:hidden/>
    <w:uiPriority w:val="99"/>
    <w:semiHidden/>
    <w:rsid w:val="00A45E63"/>
    <w:pPr>
      <w:spacing w:after="0" w:line="240" w:lineRule="auto"/>
    </w:pPr>
    <w:rPr>
      <w:rFonts w:eastAsiaTheme="minorEastAsia"/>
      <w:sz w:val="24"/>
      <w:szCs w:val="20"/>
      <w:lang w:val="en-US" w:eastAsia="ja-JP"/>
    </w:rPr>
  </w:style>
  <w:style w:type="paragraph" w:customStyle="1" w:styleId="LHPbodytext">
    <w:name w:val="LHP body text"/>
    <w:basedOn w:val="Normal"/>
    <w:next w:val="Normal"/>
    <w:link w:val="LHPbodytextChar"/>
    <w:autoRedefine/>
    <w:qFormat/>
    <w:rsid w:val="002B47FD"/>
    <w:rPr>
      <w:rFonts w:ascii="Arial" w:eastAsia="Cambria" w:hAnsi="Arial" w:cs="Arial"/>
      <w:sz w:val="20"/>
    </w:rPr>
  </w:style>
  <w:style w:type="character" w:customStyle="1" w:styleId="LHPbodytextChar">
    <w:name w:val="LHP body text Char"/>
    <w:link w:val="LHPbodytext"/>
    <w:rsid w:val="002B47FD"/>
    <w:rPr>
      <w:rFonts w:ascii="Arial" w:eastAsia="Cambria" w:hAnsi="Arial" w:cs="Arial"/>
      <w:sz w:val="20"/>
      <w:szCs w:val="20"/>
    </w:rPr>
  </w:style>
  <w:style w:type="paragraph" w:customStyle="1" w:styleId="CharChar">
    <w:name w:val="Char Char"/>
    <w:basedOn w:val="Normal"/>
    <w:rsid w:val="0028372A"/>
    <w:pPr>
      <w:spacing w:after="120" w:line="240" w:lineRule="exact"/>
    </w:pPr>
    <w:rPr>
      <w:rFonts w:ascii="Verdana" w:eastAsia="Times New Roman" w:hAnsi="Verdana" w:cs="Times New Roman"/>
      <w:sz w:val="20"/>
    </w:rPr>
  </w:style>
  <w:style w:type="paragraph" w:styleId="BodyText">
    <w:name w:val="Body Text"/>
    <w:basedOn w:val="Normal"/>
    <w:link w:val="BodyTextChar"/>
    <w:rsid w:val="00672EA2"/>
    <w:pPr>
      <w:spacing w:after="0"/>
    </w:pPr>
    <w:rPr>
      <w:rFonts w:ascii="Arial" w:eastAsia="Times New Roman" w:hAnsi="Arial" w:cs="Arial"/>
    </w:rPr>
  </w:style>
  <w:style w:type="character" w:customStyle="1" w:styleId="BodyTextChar">
    <w:name w:val="Body Text Char"/>
    <w:basedOn w:val="DefaultParagraphFont"/>
    <w:link w:val="BodyText"/>
    <w:rsid w:val="00672EA2"/>
    <w:rPr>
      <w:rFonts w:ascii="Arial" w:eastAsia="Times New Roman" w:hAnsi="Arial" w:cs="Arial"/>
    </w:rPr>
  </w:style>
  <w:style w:type="paragraph" w:styleId="NormalWeb">
    <w:name w:val="Normal (Web)"/>
    <w:basedOn w:val="Normal"/>
    <w:uiPriority w:val="99"/>
    <w:unhideWhenUsed/>
    <w:rsid w:val="008353EC"/>
    <w:pPr>
      <w:spacing w:after="180"/>
    </w:pPr>
    <w:rPr>
      <w:rFonts w:ascii="Times New Roman" w:eastAsia="Times New Roman" w:hAnsi="Times New Roman" w:cs="Times New Roman"/>
      <w:color w:val="auto"/>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4765">
      <w:bodyDiv w:val="1"/>
      <w:marLeft w:val="0"/>
      <w:marRight w:val="0"/>
      <w:marTop w:val="0"/>
      <w:marBottom w:val="0"/>
      <w:divBdr>
        <w:top w:val="none" w:sz="0" w:space="0" w:color="auto"/>
        <w:left w:val="none" w:sz="0" w:space="0" w:color="auto"/>
        <w:bottom w:val="none" w:sz="0" w:space="0" w:color="auto"/>
        <w:right w:val="none" w:sz="0" w:space="0" w:color="auto"/>
      </w:divBdr>
    </w:div>
    <w:div w:id="1416901355">
      <w:bodyDiv w:val="1"/>
      <w:marLeft w:val="0"/>
      <w:marRight w:val="0"/>
      <w:marTop w:val="0"/>
      <w:marBottom w:val="0"/>
      <w:divBdr>
        <w:top w:val="none" w:sz="0" w:space="0" w:color="auto"/>
        <w:left w:val="none" w:sz="0" w:space="0" w:color="auto"/>
        <w:bottom w:val="none" w:sz="0" w:space="0" w:color="auto"/>
        <w:right w:val="none" w:sz="0" w:space="0" w:color="auto"/>
      </w:divBdr>
    </w:div>
    <w:div w:id="1570656948">
      <w:bodyDiv w:val="1"/>
      <w:marLeft w:val="0"/>
      <w:marRight w:val="0"/>
      <w:marTop w:val="0"/>
      <w:marBottom w:val="0"/>
      <w:divBdr>
        <w:top w:val="none" w:sz="0" w:space="0" w:color="auto"/>
        <w:left w:val="none" w:sz="0" w:space="0" w:color="auto"/>
        <w:bottom w:val="none" w:sz="0" w:space="0" w:color="auto"/>
        <w:right w:val="none" w:sz="0" w:space="0" w:color="auto"/>
      </w:divBdr>
    </w:div>
    <w:div w:id="1607422102">
      <w:bodyDiv w:val="1"/>
      <w:marLeft w:val="0"/>
      <w:marRight w:val="0"/>
      <w:marTop w:val="0"/>
      <w:marBottom w:val="0"/>
      <w:divBdr>
        <w:top w:val="none" w:sz="0" w:space="0" w:color="auto"/>
        <w:left w:val="none" w:sz="0" w:space="0" w:color="auto"/>
        <w:bottom w:val="none" w:sz="0" w:space="0" w:color="auto"/>
        <w:right w:val="none" w:sz="0" w:space="0" w:color="auto"/>
      </w:divBdr>
    </w:div>
    <w:div w:id="17671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llaborative-tuberculosis-strategy-for-eng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ng33"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3581-68E0-430C-A457-FE3702FE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AHill</dc:creator>
  <cp:lastModifiedBy>Cathie Railton</cp:lastModifiedBy>
  <cp:revision>2</cp:revision>
  <cp:lastPrinted>2017-09-06T16:52:00Z</cp:lastPrinted>
  <dcterms:created xsi:type="dcterms:W3CDTF">2018-12-20T11:55:00Z</dcterms:created>
  <dcterms:modified xsi:type="dcterms:W3CDTF">2018-12-20T11:55:00Z</dcterms:modified>
</cp:coreProperties>
</file>