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rsidTr="008A7ECB">
        <w:tc>
          <w:tcPr>
            <w:tcW w:w="19319" w:type="dxa"/>
          </w:tcPr>
          <w:p w:rsidR="000C2295" w:rsidRPr="000C2295" w:rsidRDefault="000C2295" w:rsidP="000C2295">
            <w:pPr>
              <w:rPr>
                <w:rFonts w:ascii="Arial" w:hAnsi="Arial" w:cs="Arial"/>
                <w:color w:val="006600"/>
                <w:sz w:val="20"/>
                <w:szCs w:val="20"/>
              </w:rPr>
            </w:pPr>
          </w:p>
          <w:p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C73976">
              <w:rPr>
                <w:rFonts w:ascii="Arial" w:hAnsi="Arial" w:cs="Arial"/>
                <w:b/>
                <w:color w:val="006600"/>
                <w:sz w:val="96"/>
                <w:szCs w:val="20"/>
              </w:rPr>
              <w:t xml:space="preserve"> 139</w:t>
            </w:r>
          </w:p>
        </w:tc>
      </w:tr>
      <w:tr w:rsidR="000C2295" w:rsidTr="008A7ECB">
        <w:tc>
          <w:tcPr>
            <w:tcW w:w="19319" w:type="dxa"/>
          </w:tcPr>
          <w:p w:rsid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Welcome to the One Hundred and Thirty </w:t>
            </w:r>
            <w:r w:rsidR="00C73976">
              <w:rPr>
                <w:rFonts w:ascii="Arial" w:eastAsia="Times New Roman" w:hAnsi="Arial" w:cs="Arial"/>
                <w:b/>
                <w:bCs/>
                <w:color w:val="006600"/>
              </w:rPr>
              <w:t>Nin</w:t>
            </w:r>
            <w:r w:rsidRPr="00C57D50">
              <w:rPr>
                <w:rFonts w:ascii="Arial" w:eastAsia="Times New Roman" w:hAnsi="Arial" w:cs="Arial"/>
                <w:b/>
                <w:bCs/>
                <w:color w:val="006600"/>
              </w:rPr>
              <w:t xml:space="preserve">th edition of the ADPH Minding the Gap News Brief, the Yorkshire and Humber Health inequalities Programme. </w:t>
            </w:r>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To keep updated follow us on </w:t>
            </w:r>
            <w:hyperlink r:id="rId5" w:history="1">
              <w:r w:rsidRPr="00C57D50">
                <w:rPr>
                  <w:rFonts w:ascii="Arial" w:eastAsia="Times New Roman" w:hAnsi="Arial" w:cs="Arial"/>
                  <w:b/>
                  <w:bCs/>
                  <w:color w:val="0000FF"/>
                  <w:u w:val="single"/>
                </w:rPr>
                <w:t>https://twitter.com/mindingthegapyh</w:t>
              </w:r>
            </w:hyperlink>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For past editions and information click here: </w:t>
            </w:r>
            <w:hyperlink r:id="rId6" w:history="1">
              <w:r w:rsidRPr="00C57D50">
                <w:rPr>
                  <w:rFonts w:ascii="Arial" w:eastAsia="Times New Roman" w:hAnsi="Arial" w:cs="Arial"/>
                  <w:b/>
                  <w:bCs/>
                  <w:color w:val="0000FF"/>
                  <w:u w:val="single"/>
                </w:rPr>
                <w:t>https://yhphnetwork.co.uk/links-and-resources/minding-the-gap/</w:t>
              </w:r>
            </w:hyperlink>
          </w:p>
          <w:p w:rsidR="000C2295" w:rsidRPr="000C2295" w:rsidRDefault="000C2295" w:rsidP="000C2295">
            <w:pPr>
              <w:rPr>
                <w:rFonts w:ascii="Arial" w:hAnsi="Arial" w:cs="Arial"/>
                <w:color w:val="006600"/>
                <w:sz w:val="20"/>
                <w:szCs w:val="20"/>
              </w:rPr>
            </w:pPr>
          </w:p>
        </w:tc>
      </w:tr>
      <w:tr w:rsidR="004E525C" w:rsidTr="008A7ECB">
        <w:tc>
          <w:tcPr>
            <w:tcW w:w="19319" w:type="dxa"/>
          </w:tcPr>
          <w:p w:rsidR="00212AD4" w:rsidRDefault="00212AD4" w:rsidP="00B96C89">
            <w:pPr>
              <w:rPr>
                <w:rFonts w:ascii="Arial" w:hAnsi="Arial" w:cs="Arial"/>
                <w:sz w:val="20"/>
                <w:szCs w:val="20"/>
              </w:rPr>
            </w:pPr>
          </w:p>
          <w:p w:rsidR="0036133D" w:rsidRPr="003216CE" w:rsidRDefault="0036133D" w:rsidP="0036133D">
            <w:pPr>
              <w:rPr>
                <w:rFonts w:ascii="Arial" w:hAnsi="Arial" w:cs="Arial"/>
                <w:b/>
                <w:color w:val="006600"/>
                <w:sz w:val="22"/>
                <w:szCs w:val="20"/>
              </w:rPr>
            </w:pPr>
            <w:r w:rsidRPr="003216CE">
              <w:rPr>
                <w:rFonts w:ascii="Arial" w:hAnsi="Arial" w:cs="Arial"/>
                <w:b/>
                <w:color w:val="006600"/>
                <w:sz w:val="22"/>
                <w:szCs w:val="20"/>
              </w:rPr>
              <w:t>Participation</w:t>
            </w:r>
            <w:r w:rsidR="003216CE">
              <w:rPr>
                <w:rFonts w:ascii="Arial" w:hAnsi="Arial" w:cs="Arial"/>
                <w:b/>
                <w:color w:val="006600"/>
                <w:sz w:val="22"/>
                <w:szCs w:val="20"/>
              </w:rPr>
              <w:t xml:space="preserve"> (Nothing about me, without me, is for me!)</w:t>
            </w:r>
          </w:p>
          <w:p w:rsidR="0036133D" w:rsidRPr="003216CE" w:rsidRDefault="003216CE" w:rsidP="0036133D">
            <w:pPr>
              <w:rPr>
                <w:rFonts w:ascii="Arial" w:hAnsi="Arial" w:cs="Arial"/>
                <w:color w:val="006600"/>
                <w:sz w:val="20"/>
                <w:szCs w:val="20"/>
              </w:rPr>
            </w:pPr>
            <w:r w:rsidRPr="003216CE">
              <w:rPr>
                <w:rFonts w:ascii="Arial" w:hAnsi="Arial" w:cs="Arial"/>
                <w:color w:val="006600"/>
                <w:sz w:val="20"/>
                <w:szCs w:val="20"/>
              </w:rPr>
              <w:t>Participation means people playing an active part, having greater choice, exercising more power and contributing significantly to decision making and management.</w:t>
            </w:r>
            <w:r w:rsidR="00B96C89" w:rsidRPr="003216CE">
              <w:rPr>
                <w:rFonts w:ascii="Arial" w:hAnsi="Arial" w:cs="Arial"/>
                <w:color w:val="006600"/>
                <w:sz w:val="20"/>
                <w:szCs w:val="20"/>
              </w:rPr>
              <w:t xml:space="preserve"> It involves the provision of evidence-based information about options, outcomes and uncertainties, together with decision support counselling and a system for recording and implementing patients’ informed preferences.</w:t>
            </w:r>
            <w:r w:rsidR="00B96C89" w:rsidRPr="003216CE">
              <w:rPr>
                <w:color w:val="006600"/>
              </w:rPr>
              <w:t xml:space="preserve"> </w:t>
            </w:r>
            <w:r w:rsidR="00B96C89" w:rsidRPr="003216CE">
              <w:rPr>
                <w:rFonts w:ascii="Arial" w:hAnsi="Arial" w:cs="Arial"/>
                <w:color w:val="006600"/>
                <w:sz w:val="20"/>
                <w:szCs w:val="20"/>
              </w:rPr>
              <w:t>Embedding shared decision-making into systems, processes and workforce attitudes, skills and behaviours is a challenge.</w:t>
            </w:r>
            <w:r w:rsidRPr="003216CE">
              <w:rPr>
                <w:color w:val="006600"/>
              </w:rPr>
              <w:t xml:space="preserve"> </w:t>
            </w:r>
            <w:r w:rsidRPr="003216CE">
              <w:rPr>
                <w:rFonts w:ascii="Arial" w:hAnsi="Arial" w:cs="Arial"/>
                <w:color w:val="006600"/>
                <w:sz w:val="20"/>
                <w:szCs w:val="20"/>
              </w:rPr>
              <w:t>Organisations that recognise the importance of participation and actively engage people who use their services in planning and improvement will be well prepared for the transformed health and social care environment.</w:t>
            </w:r>
          </w:p>
          <w:p w:rsidR="0036133D" w:rsidRPr="003216CE" w:rsidRDefault="0036133D" w:rsidP="0036133D">
            <w:pPr>
              <w:rPr>
                <w:rFonts w:ascii="Arial" w:hAnsi="Arial" w:cs="Arial"/>
                <w:color w:val="006600"/>
                <w:sz w:val="20"/>
                <w:szCs w:val="20"/>
              </w:rPr>
            </w:pPr>
          </w:p>
          <w:p w:rsidR="0036133D" w:rsidRPr="003216CE" w:rsidRDefault="0036133D" w:rsidP="0036133D">
            <w:pPr>
              <w:rPr>
                <w:rFonts w:ascii="Arial" w:hAnsi="Arial" w:cs="Arial"/>
                <w:color w:val="006600"/>
                <w:sz w:val="20"/>
                <w:szCs w:val="20"/>
              </w:rPr>
            </w:pPr>
            <w:r w:rsidRPr="003216CE">
              <w:rPr>
                <w:rFonts w:ascii="Arial" w:hAnsi="Arial" w:cs="Arial"/>
                <w:color w:val="006600"/>
                <w:sz w:val="20"/>
                <w:szCs w:val="20"/>
              </w:rPr>
              <w:t>Check how you can increase participation within your organisation by following the links below.</w:t>
            </w:r>
          </w:p>
          <w:p w:rsidR="0036133D" w:rsidRDefault="0036133D" w:rsidP="0036133D">
            <w:pPr>
              <w:rPr>
                <w:rFonts w:ascii="Arial" w:hAnsi="Arial" w:cs="Arial"/>
                <w:sz w:val="20"/>
                <w:szCs w:val="20"/>
              </w:rPr>
            </w:pPr>
          </w:p>
          <w:p w:rsidR="0036133D" w:rsidRDefault="008A7ECB" w:rsidP="0036133D">
            <w:pPr>
              <w:rPr>
                <w:rFonts w:ascii="Arial" w:hAnsi="Arial" w:cs="Arial"/>
                <w:sz w:val="20"/>
                <w:szCs w:val="20"/>
              </w:rPr>
            </w:pPr>
            <w:hyperlink r:id="rId7" w:history="1">
              <w:r w:rsidR="0036133D" w:rsidRPr="0036133D">
                <w:rPr>
                  <w:rStyle w:val="Hyperlink"/>
                  <w:rFonts w:ascii="Arial" w:hAnsi="Arial" w:cs="Arial"/>
                  <w:sz w:val="20"/>
                  <w:szCs w:val="20"/>
                </w:rPr>
                <w:t>Link</w:t>
              </w:r>
            </w:hyperlink>
          </w:p>
          <w:p w:rsidR="00B96C89" w:rsidRDefault="00B96C89" w:rsidP="0036133D">
            <w:pPr>
              <w:rPr>
                <w:rFonts w:ascii="Arial" w:hAnsi="Arial" w:cs="Arial"/>
                <w:sz w:val="20"/>
                <w:szCs w:val="20"/>
              </w:rPr>
            </w:pPr>
          </w:p>
        </w:tc>
      </w:tr>
      <w:tr w:rsidR="008F45FB" w:rsidTr="008A7ECB">
        <w:tc>
          <w:tcPr>
            <w:tcW w:w="19319" w:type="dxa"/>
          </w:tcPr>
          <w:p w:rsidR="00B96C89" w:rsidRPr="00212AD4" w:rsidRDefault="00B96C89" w:rsidP="00B96C89">
            <w:pPr>
              <w:rPr>
                <w:rFonts w:ascii="Arial" w:hAnsi="Arial" w:cs="Arial"/>
                <w:color w:val="006600"/>
                <w:sz w:val="20"/>
                <w:szCs w:val="20"/>
              </w:rPr>
            </w:pPr>
          </w:p>
          <w:p w:rsidR="00B96C89" w:rsidRPr="00212AD4" w:rsidRDefault="00B96C89" w:rsidP="00B96C89">
            <w:pPr>
              <w:rPr>
                <w:rFonts w:ascii="Arial" w:hAnsi="Arial" w:cs="Arial"/>
                <w:b/>
                <w:color w:val="006600"/>
                <w:sz w:val="22"/>
                <w:szCs w:val="20"/>
              </w:rPr>
            </w:pPr>
            <w:r w:rsidRPr="00212AD4">
              <w:rPr>
                <w:rFonts w:ascii="Arial" w:hAnsi="Arial" w:cs="Arial"/>
                <w:b/>
                <w:color w:val="006600"/>
                <w:sz w:val="22"/>
                <w:szCs w:val="20"/>
              </w:rPr>
              <w:t>The Independent SAGE Report: Covid</w:t>
            </w:r>
            <w:r>
              <w:rPr>
                <w:rFonts w:ascii="Arial" w:hAnsi="Arial" w:cs="Arial"/>
                <w:b/>
                <w:color w:val="006600"/>
                <w:sz w:val="22"/>
                <w:szCs w:val="20"/>
              </w:rPr>
              <w:t>-19: What are the Options for t</w:t>
            </w:r>
            <w:r w:rsidRPr="00212AD4">
              <w:rPr>
                <w:rFonts w:ascii="Arial" w:hAnsi="Arial" w:cs="Arial"/>
                <w:b/>
                <w:color w:val="006600"/>
                <w:sz w:val="22"/>
                <w:szCs w:val="20"/>
              </w:rPr>
              <w:t>he UK?</w:t>
            </w:r>
          </w:p>
          <w:p w:rsidR="00B96C89" w:rsidRPr="00212AD4" w:rsidRDefault="00B96C89" w:rsidP="00B96C89">
            <w:pPr>
              <w:rPr>
                <w:rFonts w:ascii="Arial" w:hAnsi="Arial" w:cs="Arial"/>
                <w:color w:val="006600"/>
                <w:sz w:val="20"/>
                <w:szCs w:val="20"/>
              </w:rPr>
            </w:pPr>
            <w:r w:rsidRPr="00212AD4">
              <w:rPr>
                <w:rFonts w:ascii="Arial" w:hAnsi="Arial" w:cs="Arial"/>
                <w:color w:val="006600"/>
                <w:sz w:val="20"/>
                <w:szCs w:val="20"/>
              </w:rPr>
              <w:t>This report focuses on the priorities for measures to be taken to support a gradual release from social distancing measures through a sustainable public health response to COVID-19. This will be essential in suppressing the virus until the delivery of an effective vaccine with universal uptake. The report does not address, except as it is directly relevant, the clear structural and procedural weaknesses that contributed to the current situation as the authors expect these will be addressed in a future inquiry. The report will draw extensively on the policy considerations proposed by the World Health Organization, which provide a clear structure on which an effective policy should be based given the inevitability that the virus will continue to cross borders.</w:t>
            </w:r>
          </w:p>
          <w:p w:rsidR="00B96C89" w:rsidRPr="00212AD4" w:rsidRDefault="00B96C89" w:rsidP="00B96C89">
            <w:pPr>
              <w:rPr>
                <w:rFonts w:ascii="Arial" w:hAnsi="Arial" w:cs="Arial"/>
                <w:color w:val="006600"/>
                <w:sz w:val="20"/>
                <w:szCs w:val="20"/>
              </w:rPr>
            </w:pPr>
          </w:p>
          <w:p w:rsidR="00B96C89" w:rsidRDefault="008A7ECB" w:rsidP="00B96C89">
            <w:pPr>
              <w:rPr>
                <w:rFonts w:ascii="Arial" w:hAnsi="Arial" w:cs="Arial"/>
                <w:sz w:val="20"/>
                <w:szCs w:val="20"/>
              </w:rPr>
            </w:pPr>
            <w:hyperlink r:id="rId8" w:history="1">
              <w:r w:rsidR="00B96C89" w:rsidRPr="00B07B42">
                <w:rPr>
                  <w:rStyle w:val="Hyperlink"/>
                  <w:rFonts w:ascii="Arial" w:hAnsi="Arial" w:cs="Arial"/>
                  <w:sz w:val="20"/>
                  <w:szCs w:val="20"/>
                </w:rPr>
                <w:t>Report</w:t>
              </w:r>
            </w:hyperlink>
          </w:p>
          <w:p w:rsidR="0056022E" w:rsidRPr="000C2295" w:rsidRDefault="0056022E" w:rsidP="00B96C89">
            <w:pPr>
              <w:rPr>
                <w:rFonts w:ascii="Arial" w:hAnsi="Arial" w:cs="Arial"/>
                <w:sz w:val="20"/>
                <w:szCs w:val="20"/>
              </w:rPr>
            </w:pPr>
          </w:p>
        </w:tc>
      </w:tr>
      <w:tr w:rsidR="00E210DE" w:rsidTr="008A7ECB">
        <w:tc>
          <w:tcPr>
            <w:tcW w:w="19319" w:type="dxa"/>
          </w:tcPr>
          <w:p w:rsidR="00B96C89" w:rsidRPr="0070761D" w:rsidRDefault="00B96C89" w:rsidP="00B96C89">
            <w:pPr>
              <w:rPr>
                <w:rFonts w:ascii="Arial" w:hAnsi="Arial" w:cs="Arial"/>
                <w:color w:val="006600"/>
                <w:sz w:val="20"/>
                <w:szCs w:val="20"/>
              </w:rPr>
            </w:pPr>
          </w:p>
          <w:p w:rsidR="00B96C89" w:rsidRPr="0070761D" w:rsidRDefault="00B96C89" w:rsidP="00B96C89">
            <w:pPr>
              <w:rPr>
                <w:rFonts w:ascii="Arial" w:hAnsi="Arial" w:cs="Arial"/>
                <w:b/>
                <w:color w:val="006600"/>
                <w:sz w:val="22"/>
                <w:szCs w:val="20"/>
              </w:rPr>
            </w:pPr>
            <w:r w:rsidRPr="0070761D">
              <w:rPr>
                <w:rFonts w:ascii="Arial" w:hAnsi="Arial" w:cs="Arial"/>
                <w:b/>
                <w:color w:val="006600"/>
                <w:sz w:val="22"/>
                <w:szCs w:val="20"/>
              </w:rPr>
              <w:t>Death</w:t>
            </w:r>
            <w:r>
              <w:rPr>
                <w:rFonts w:ascii="Arial" w:hAnsi="Arial" w:cs="Arial"/>
                <w:b/>
                <w:color w:val="006600"/>
                <w:sz w:val="22"/>
                <w:szCs w:val="20"/>
              </w:rPr>
              <w:t>s from Covid-19 (coronavirus): H</w:t>
            </w:r>
            <w:r w:rsidRPr="0070761D">
              <w:rPr>
                <w:rFonts w:ascii="Arial" w:hAnsi="Arial" w:cs="Arial"/>
                <w:b/>
                <w:color w:val="006600"/>
                <w:sz w:val="22"/>
                <w:szCs w:val="20"/>
              </w:rPr>
              <w:t>ow are</w:t>
            </w:r>
            <w:r>
              <w:rPr>
                <w:rFonts w:ascii="Arial" w:hAnsi="Arial" w:cs="Arial"/>
                <w:b/>
                <w:color w:val="006600"/>
                <w:sz w:val="22"/>
                <w:szCs w:val="20"/>
              </w:rPr>
              <w:t xml:space="preserve"> they Counted and what do they S</w:t>
            </w:r>
            <w:r w:rsidRPr="0070761D">
              <w:rPr>
                <w:rFonts w:ascii="Arial" w:hAnsi="Arial" w:cs="Arial"/>
                <w:b/>
                <w:color w:val="006600"/>
                <w:sz w:val="22"/>
                <w:szCs w:val="20"/>
              </w:rPr>
              <w:t>how?</w:t>
            </w:r>
          </w:p>
          <w:p w:rsidR="00B96C89" w:rsidRPr="0070761D" w:rsidRDefault="00B96C89" w:rsidP="00B96C89">
            <w:pPr>
              <w:rPr>
                <w:rFonts w:ascii="Arial" w:hAnsi="Arial" w:cs="Arial"/>
                <w:color w:val="006600"/>
                <w:sz w:val="20"/>
                <w:szCs w:val="20"/>
              </w:rPr>
            </w:pPr>
            <w:r w:rsidRPr="0070761D">
              <w:rPr>
                <w:rFonts w:ascii="Arial" w:hAnsi="Arial" w:cs="Arial"/>
                <w:color w:val="006600"/>
                <w:sz w:val="20"/>
                <w:szCs w:val="20"/>
              </w:rPr>
              <w:t>This article examines the methods being used to count deaths from Covid-19 and what the numbers show to date.</w:t>
            </w:r>
            <w:r w:rsidRPr="0070761D">
              <w:rPr>
                <w:color w:val="006600"/>
              </w:rPr>
              <w:t xml:space="preserve"> Whilst t</w:t>
            </w:r>
            <w:r w:rsidRPr="0070761D">
              <w:rPr>
                <w:rFonts w:ascii="Arial" w:hAnsi="Arial" w:cs="Arial"/>
                <w:color w:val="006600"/>
                <w:sz w:val="20"/>
                <w:szCs w:val="20"/>
              </w:rPr>
              <w:t>he numbers of deaths from Covid-19 and deaths overall reported here are up to date as of 12 May 2020, they are changing rapidly, and patterns could change as new data becomes available.</w:t>
            </w:r>
            <w:r w:rsidRPr="0070761D">
              <w:rPr>
                <w:color w:val="006600"/>
              </w:rPr>
              <w:t xml:space="preserve"> </w:t>
            </w:r>
            <w:r w:rsidRPr="0070761D">
              <w:rPr>
                <w:rFonts w:ascii="Arial" w:hAnsi="Arial" w:cs="Arial"/>
                <w:color w:val="006600"/>
                <w:sz w:val="20"/>
                <w:szCs w:val="20"/>
              </w:rPr>
              <w:t>Covid-19 deaths are having a significant impact on overall mortality. From late March caused a sharp spike in overall deaths, resulting in almost 46,000 excess registered deaths to 1 May 2020 compared with the average for 2015–19. From week ending 24 April total deaths have started to decline, reflecting falling numbers of Covid-19 deaths.</w:t>
            </w:r>
          </w:p>
          <w:p w:rsidR="00B96C89" w:rsidRPr="0070761D" w:rsidRDefault="00B96C89" w:rsidP="00B96C89">
            <w:pPr>
              <w:rPr>
                <w:rFonts w:ascii="Arial" w:hAnsi="Arial" w:cs="Arial"/>
                <w:color w:val="006600"/>
                <w:sz w:val="20"/>
                <w:szCs w:val="20"/>
              </w:rPr>
            </w:pPr>
          </w:p>
          <w:p w:rsidR="00B96C89" w:rsidRPr="0070761D" w:rsidRDefault="00B96C89" w:rsidP="00B96C89">
            <w:pPr>
              <w:rPr>
                <w:rFonts w:ascii="Arial" w:hAnsi="Arial" w:cs="Arial"/>
                <w:color w:val="006600"/>
                <w:sz w:val="20"/>
                <w:szCs w:val="20"/>
              </w:rPr>
            </w:pPr>
            <w:r w:rsidRPr="0070761D">
              <w:rPr>
                <w:rFonts w:ascii="Arial" w:hAnsi="Arial" w:cs="Arial"/>
                <w:color w:val="006600"/>
                <w:sz w:val="20"/>
                <w:szCs w:val="20"/>
              </w:rPr>
              <w:t>Socio-economic inequalities in health and mortality in England and Wales have been reported for decades and they are widening. The direct and indirect impacts of the Covid-19 pandemic can exacerbate this inequality for several reasons, e</w:t>
            </w:r>
            <w:r w:rsidR="003216CE">
              <w:rPr>
                <w:rFonts w:ascii="Arial" w:hAnsi="Arial" w:cs="Arial"/>
                <w:color w:val="006600"/>
                <w:sz w:val="20"/>
                <w:szCs w:val="20"/>
              </w:rPr>
              <w:t>.</w:t>
            </w:r>
            <w:r w:rsidRPr="0070761D">
              <w:rPr>
                <w:rFonts w:ascii="Arial" w:hAnsi="Arial" w:cs="Arial"/>
                <w:color w:val="006600"/>
                <w:sz w:val="20"/>
                <w:szCs w:val="20"/>
              </w:rPr>
              <w:t>g</w:t>
            </w:r>
            <w:r w:rsidR="003216CE">
              <w:rPr>
                <w:rFonts w:ascii="Arial" w:hAnsi="Arial" w:cs="Arial"/>
                <w:color w:val="006600"/>
                <w:sz w:val="20"/>
                <w:szCs w:val="20"/>
              </w:rPr>
              <w:t>.</w:t>
            </w:r>
            <w:r w:rsidRPr="0070761D">
              <w:rPr>
                <w:rFonts w:ascii="Arial" w:hAnsi="Arial" w:cs="Arial"/>
                <w:color w:val="006600"/>
                <w:sz w:val="20"/>
                <w:szCs w:val="20"/>
              </w:rPr>
              <w:t>, because of differences in occupational exposure to infection and higher levels of pre-existing disease and household density among more deprived groups.</w:t>
            </w:r>
            <w:r w:rsidRPr="0070761D">
              <w:rPr>
                <w:color w:val="006600"/>
              </w:rPr>
              <w:t xml:space="preserve"> </w:t>
            </w:r>
            <w:r w:rsidRPr="0070761D">
              <w:rPr>
                <w:rFonts w:ascii="Arial" w:hAnsi="Arial" w:cs="Arial"/>
                <w:color w:val="006600"/>
                <w:sz w:val="20"/>
                <w:szCs w:val="20"/>
              </w:rPr>
              <w:t>The excess mortality in BAME groups is only partially attributable to clinical factors and deprivation. Such findings have led to calls for an inquiry.</w:t>
            </w:r>
          </w:p>
          <w:p w:rsidR="00B96C89" w:rsidRPr="0070761D" w:rsidRDefault="00B96C89" w:rsidP="00B96C89">
            <w:pPr>
              <w:rPr>
                <w:rFonts w:ascii="Arial" w:hAnsi="Arial" w:cs="Arial"/>
                <w:color w:val="006600"/>
                <w:sz w:val="20"/>
                <w:szCs w:val="20"/>
              </w:rPr>
            </w:pPr>
          </w:p>
          <w:p w:rsidR="00B96C89" w:rsidRPr="0070761D" w:rsidRDefault="00B96C89" w:rsidP="00B96C89">
            <w:pPr>
              <w:rPr>
                <w:rFonts w:ascii="Arial" w:hAnsi="Arial" w:cs="Arial"/>
                <w:color w:val="006600"/>
                <w:sz w:val="20"/>
                <w:szCs w:val="20"/>
              </w:rPr>
            </w:pPr>
            <w:r w:rsidRPr="0070761D">
              <w:rPr>
                <w:rFonts w:ascii="Arial" w:hAnsi="Arial" w:cs="Arial"/>
                <w:color w:val="006600"/>
                <w:sz w:val="20"/>
                <w:szCs w:val="20"/>
              </w:rPr>
              <w:t>While some mortality patterns are detectable from the data available to date, much will depend on the future trajectory of the pandemic. Further analyses of overall, cause-specific and excess mortality are needed to better understand mortality trends and differentials, within and across countries, and require longer time series of data. Moreover, as mortality patterns suggest Covid-19 is under-recorded in death certification, as with influenza, alternative methods of estimating these deaths may also be required.</w:t>
            </w:r>
          </w:p>
          <w:p w:rsidR="00B96C89" w:rsidRDefault="00B96C89" w:rsidP="00B96C89">
            <w:pPr>
              <w:rPr>
                <w:rFonts w:ascii="Arial" w:hAnsi="Arial" w:cs="Arial"/>
                <w:sz w:val="20"/>
                <w:szCs w:val="20"/>
              </w:rPr>
            </w:pPr>
          </w:p>
          <w:p w:rsidR="00B96C89" w:rsidRDefault="008A7ECB" w:rsidP="00B96C89">
            <w:pPr>
              <w:rPr>
                <w:rFonts w:ascii="Arial" w:hAnsi="Arial" w:cs="Arial"/>
                <w:sz w:val="20"/>
                <w:szCs w:val="20"/>
              </w:rPr>
            </w:pPr>
            <w:hyperlink r:id="rId9" w:history="1">
              <w:r w:rsidR="00B96C89" w:rsidRPr="0070761D">
                <w:rPr>
                  <w:rStyle w:val="Hyperlink"/>
                  <w:rFonts w:ascii="Arial" w:hAnsi="Arial" w:cs="Arial"/>
                  <w:sz w:val="20"/>
                  <w:szCs w:val="20"/>
                </w:rPr>
                <w:t>Report</w:t>
              </w:r>
            </w:hyperlink>
          </w:p>
          <w:p w:rsidR="00C465CF" w:rsidRPr="003C57F2" w:rsidRDefault="00C465CF" w:rsidP="00B96C89">
            <w:pPr>
              <w:rPr>
                <w:rFonts w:ascii="Arial" w:hAnsi="Arial" w:cs="Arial"/>
                <w:color w:val="006600"/>
                <w:sz w:val="20"/>
                <w:szCs w:val="20"/>
              </w:rPr>
            </w:pPr>
          </w:p>
        </w:tc>
      </w:tr>
      <w:tr w:rsidR="001D1EFD" w:rsidTr="008A7ECB">
        <w:tc>
          <w:tcPr>
            <w:tcW w:w="19319" w:type="dxa"/>
          </w:tcPr>
          <w:p w:rsidR="00CF157D" w:rsidRDefault="00CF157D" w:rsidP="00220979">
            <w:pPr>
              <w:rPr>
                <w:rFonts w:ascii="Arial" w:hAnsi="Arial" w:cs="Arial"/>
                <w:color w:val="006600"/>
                <w:sz w:val="20"/>
                <w:szCs w:val="20"/>
              </w:rPr>
            </w:pPr>
          </w:p>
          <w:p w:rsidR="00220979" w:rsidRPr="00CF157D" w:rsidRDefault="00CF157D" w:rsidP="00220979">
            <w:pPr>
              <w:rPr>
                <w:rFonts w:ascii="Arial" w:hAnsi="Arial" w:cs="Arial"/>
                <w:b/>
                <w:color w:val="006600"/>
                <w:sz w:val="22"/>
                <w:szCs w:val="20"/>
              </w:rPr>
            </w:pPr>
            <w:r w:rsidRPr="00CF157D">
              <w:rPr>
                <w:rFonts w:ascii="Arial" w:hAnsi="Arial" w:cs="Arial"/>
                <w:b/>
                <w:color w:val="006600"/>
                <w:sz w:val="22"/>
                <w:szCs w:val="20"/>
              </w:rPr>
              <w:t>The Eff</w:t>
            </w:r>
            <w:r>
              <w:rPr>
                <w:rFonts w:ascii="Arial" w:hAnsi="Arial" w:cs="Arial"/>
                <w:b/>
                <w:color w:val="006600"/>
                <w:sz w:val="22"/>
                <w:szCs w:val="20"/>
              </w:rPr>
              <w:t>ects of the Coronavirus Crisis o</w:t>
            </w:r>
            <w:r w:rsidRPr="00CF157D">
              <w:rPr>
                <w:rFonts w:ascii="Arial" w:hAnsi="Arial" w:cs="Arial"/>
                <w:b/>
                <w:color w:val="006600"/>
                <w:sz w:val="22"/>
                <w:szCs w:val="20"/>
              </w:rPr>
              <w:t>n Workers</w:t>
            </w:r>
          </w:p>
          <w:p w:rsidR="00CF157D" w:rsidRDefault="00CF157D" w:rsidP="00CF157D">
            <w:pPr>
              <w:rPr>
                <w:rFonts w:ascii="Arial" w:hAnsi="Arial" w:cs="Arial"/>
                <w:color w:val="006600"/>
                <w:sz w:val="20"/>
                <w:szCs w:val="20"/>
              </w:rPr>
            </w:pPr>
            <w:r>
              <w:rPr>
                <w:rFonts w:ascii="Arial" w:hAnsi="Arial" w:cs="Arial"/>
                <w:color w:val="006600"/>
                <w:sz w:val="20"/>
                <w:szCs w:val="20"/>
              </w:rPr>
              <w:t xml:space="preserve">This report illustrates that </w:t>
            </w:r>
            <w:r w:rsidRPr="00CF157D">
              <w:rPr>
                <w:rFonts w:ascii="Arial" w:hAnsi="Arial" w:cs="Arial"/>
                <w:color w:val="006600"/>
                <w:sz w:val="20"/>
                <w:szCs w:val="20"/>
              </w:rPr>
              <w:t xml:space="preserve">the coronavirus crisis is having </w:t>
            </w:r>
            <w:r>
              <w:rPr>
                <w:rFonts w:ascii="Arial" w:hAnsi="Arial" w:cs="Arial"/>
                <w:color w:val="006600"/>
                <w:sz w:val="20"/>
                <w:szCs w:val="20"/>
              </w:rPr>
              <w:t xml:space="preserve">a </w:t>
            </w:r>
            <w:r w:rsidRPr="00CF157D">
              <w:rPr>
                <w:rFonts w:ascii="Arial" w:hAnsi="Arial" w:cs="Arial"/>
                <w:color w:val="006600"/>
                <w:sz w:val="20"/>
                <w:szCs w:val="20"/>
              </w:rPr>
              <w:t xml:space="preserve">disproportionate impact </w:t>
            </w:r>
            <w:r>
              <w:rPr>
                <w:rFonts w:ascii="Arial" w:hAnsi="Arial" w:cs="Arial"/>
                <w:color w:val="006600"/>
                <w:sz w:val="20"/>
                <w:szCs w:val="20"/>
              </w:rPr>
              <w:t>on</w:t>
            </w:r>
            <w:r w:rsidRPr="00CF157D">
              <w:rPr>
                <w:rFonts w:ascii="Arial" w:hAnsi="Arial" w:cs="Arial"/>
                <w:color w:val="006600"/>
                <w:sz w:val="20"/>
                <w:szCs w:val="20"/>
              </w:rPr>
              <w:t xml:space="preserve"> lowest earners, as well as those in atypical forms of work. These workers are more likely to have lost work or been furloughed due to the crisis. And while government support, such as the Coronavirus Job Retention Scheme and (in coming weeks) the Self-Employed Income Support Scheme, will play a vital role in helping workers get through the crisis, there is significant anxiety about the near future. As the crisis continues to unfold, a comprehensive support package will be essential to minimise the long-term effects on the labour market.</w:t>
            </w:r>
          </w:p>
          <w:p w:rsidR="00CF157D" w:rsidRDefault="00CF157D" w:rsidP="00CF157D">
            <w:pPr>
              <w:rPr>
                <w:rFonts w:ascii="Arial" w:hAnsi="Arial" w:cs="Arial"/>
                <w:color w:val="006600"/>
                <w:sz w:val="20"/>
                <w:szCs w:val="20"/>
              </w:rPr>
            </w:pPr>
          </w:p>
          <w:p w:rsidR="00CF157D" w:rsidRPr="00CF157D" w:rsidRDefault="00CF157D" w:rsidP="00CF157D">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"https://www.resolutionfoundation.org/app/uploads/2020/05/The-effect-of-the-coronavirus-crisis-on-workers.pdf" </w:instrText>
            </w:r>
            <w:r>
              <w:rPr>
                <w:rFonts w:ascii="Arial" w:hAnsi="Arial" w:cs="Arial"/>
                <w:color w:val="006600"/>
                <w:sz w:val="20"/>
                <w:szCs w:val="20"/>
              </w:rPr>
              <w:fldChar w:fldCharType="separate"/>
            </w:r>
            <w:r w:rsidRPr="00CF157D">
              <w:rPr>
                <w:rStyle w:val="Hyperlink"/>
                <w:rFonts w:ascii="Arial" w:hAnsi="Arial" w:cs="Arial"/>
                <w:sz w:val="20"/>
                <w:szCs w:val="20"/>
              </w:rPr>
              <w:t>Report</w:t>
            </w:r>
          </w:p>
          <w:p w:rsidR="00CF157D" w:rsidRDefault="00CF157D" w:rsidP="00CF157D">
            <w:pPr>
              <w:rPr>
                <w:rFonts w:ascii="Arial" w:hAnsi="Arial" w:cs="Arial"/>
                <w:color w:val="006600"/>
                <w:sz w:val="20"/>
                <w:szCs w:val="20"/>
              </w:rPr>
            </w:pPr>
            <w:r>
              <w:rPr>
                <w:rFonts w:ascii="Arial" w:hAnsi="Arial" w:cs="Arial"/>
                <w:color w:val="006600"/>
                <w:sz w:val="20"/>
                <w:szCs w:val="20"/>
              </w:rPr>
              <w:fldChar w:fldCharType="end"/>
            </w:r>
          </w:p>
        </w:tc>
      </w:tr>
      <w:tr w:rsidR="00EC572E" w:rsidTr="008A7ECB">
        <w:tc>
          <w:tcPr>
            <w:tcW w:w="19319" w:type="dxa"/>
          </w:tcPr>
          <w:p w:rsidR="00261820" w:rsidRDefault="00261820" w:rsidP="00EC572E">
            <w:pPr>
              <w:rPr>
                <w:rFonts w:ascii="Arial" w:hAnsi="Arial" w:cs="Arial"/>
                <w:color w:val="006600"/>
                <w:sz w:val="20"/>
                <w:szCs w:val="20"/>
              </w:rPr>
            </w:pPr>
          </w:p>
          <w:p w:rsidR="00EB0ABC" w:rsidRPr="00261820" w:rsidRDefault="00261820" w:rsidP="00EC572E">
            <w:pPr>
              <w:rPr>
                <w:rFonts w:ascii="Arial" w:hAnsi="Arial" w:cs="Arial"/>
                <w:b/>
                <w:color w:val="006600"/>
                <w:sz w:val="22"/>
                <w:szCs w:val="20"/>
              </w:rPr>
            </w:pPr>
            <w:r w:rsidRPr="00261820">
              <w:rPr>
                <w:rFonts w:ascii="Arial" w:hAnsi="Arial" w:cs="Arial"/>
                <w:b/>
                <w:color w:val="006600"/>
                <w:sz w:val="22"/>
                <w:szCs w:val="20"/>
              </w:rPr>
              <w:t>Care Homes ‘L</w:t>
            </w:r>
            <w:r>
              <w:rPr>
                <w:rFonts w:ascii="Arial" w:hAnsi="Arial" w:cs="Arial"/>
                <w:b/>
                <w:color w:val="006600"/>
                <w:sz w:val="22"/>
                <w:szCs w:val="20"/>
              </w:rPr>
              <w:t>eft to Fend f</w:t>
            </w:r>
            <w:r w:rsidRPr="00261820">
              <w:rPr>
                <w:rFonts w:ascii="Arial" w:hAnsi="Arial" w:cs="Arial"/>
                <w:b/>
                <w:color w:val="006600"/>
                <w:sz w:val="22"/>
                <w:szCs w:val="20"/>
              </w:rPr>
              <w:t>or Themselves’ Against Coronavirus</w:t>
            </w:r>
          </w:p>
          <w:p w:rsidR="00261820" w:rsidRDefault="00261820" w:rsidP="00EC572E">
            <w:pPr>
              <w:rPr>
                <w:rFonts w:ascii="Arial" w:hAnsi="Arial" w:cs="Arial"/>
                <w:color w:val="006600"/>
                <w:sz w:val="20"/>
                <w:szCs w:val="20"/>
              </w:rPr>
            </w:pPr>
            <w:r>
              <w:rPr>
                <w:rFonts w:ascii="Arial" w:hAnsi="Arial" w:cs="Arial"/>
                <w:color w:val="006600"/>
                <w:sz w:val="20"/>
                <w:szCs w:val="20"/>
              </w:rPr>
              <w:t xml:space="preserve">This article </w:t>
            </w:r>
            <w:r w:rsidRPr="00261820">
              <w:rPr>
                <w:rFonts w:ascii="Arial" w:hAnsi="Arial" w:cs="Arial"/>
                <w:color w:val="006600"/>
                <w:sz w:val="20"/>
                <w:szCs w:val="20"/>
              </w:rPr>
              <w:t>warns the ‘lives of people with dementia continue to be put in danger’ and calls for weekly testing of all care home staff and residents, after finding over half of care homes can’t isolate residents, and 43% are still not confident of their PPE supply, despite nearly a third taking Covid-19 positive patients from hospital.</w:t>
            </w:r>
          </w:p>
          <w:p w:rsidR="00261820" w:rsidRDefault="00261820" w:rsidP="00EC572E">
            <w:pPr>
              <w:rPr>
                <w:rFonts w:ascii="Arial" w:hAnsi="Arial" w:cs="Arial"/>
                <w:color w:val="006600"/>
                <w:sz w:val="20"/>
                <w:szCs w:val="20"/>
              </w:rPr>
            </w:pPr>
          </w:p>
          <w:p w:rsidR="00261820" w:rsidRDefault="008A7ECB" w:rsidP="00EC572E">
            <w:pPr>
              <w:rPr>
                <w:rFonts w:ascii="Arial" w:hAnsi="Arial" w:cs="Arial"/>
                <w:color w:val="006600"/>
                <w:sz w:val="20"/>
                <w:szCs w:val="20"/>
              </w:rPr>
            </w:pPr>
            <w:hyperlink r:id="rId10" w:history="1">
              <w:r w:rsidR="00261820" w:rsidRPr="00261820">
                <w:rPr>
                  <w:rStyle w:val="Hyperlink"/>
                  <w:rFonts w:ascii="Arial" w:hAnsi="Arial" w:cs="Arial"/>
                  <w:sz w:val="20"/>
                  <w:szCs w:val="20"/>
                </w:rPr>
                <w:t>Article</w:t>
              </w:r>
            </w:hyperlink>
          </w:p>
          <w:p w:rsidR="00261820" w:rsidRDefault="00261820" w:rsidP="00EC572E">
            <w:pPr>
              <w:rPr>
                <w:rFonts w:ascii="Arial" w:hAnsi="Arial" w:cs="Arial"/>
                <w:color w:val="006600"/>
                <w:sz w:val="20"/>
                <w:szCs w:val="20"/>
              </w:rPr>
            </w:pPr>
          </w:p>
        </w:tc>
      </w:tr>
      <w:tr w:rsidR="00AF2FAE" w:rsidTr="008A7ECB">
        <w:tc>
          <w:tcPr>
            <w:tcW w:w="19319" w:type="dxa"/>
          </w:tcPr>
          <w:p w:rsidR="00251F07" w:rsidRPr="00251F07" w:rsidRDefault="00251F07" w:rsidP="00251F07">
            <w:pPr>
              <w:rPr>
                <w:rFonts w:ascii="Arial" w:hAnsi="Arial" w:cs="Arial"/>
                <w:b/>
                <w:color w:val="006600"/>
                <w:sz w:val="22"/>
                <w:szCs w:val="20"/>
              </w:rPr>
            </w:pPr>
          </w:p>
          <w:p w:rsidR="00251F07" w:rsidRPr="00251F07" w:rsidRDefault="00251F07" w:rsidP="00251F07">
            <w:pPr>
              <w:rPr>
                <w:rFonts w:ascii="Arial" w:hAnsi="Arial" w:cs="Arial"/>
                <w:b/>
                <w:color w:val="006600"/>
                <w:sz w:val="22"/>
                <w:szCs w:val="20"/>
              </w:rPr>
            </w:pPr>
            <w:r w:rsidRPr="00251F07">
              <w:rPr>
                <w:rFonts w:ascii="Arial" w:hAnsi="Arial" w:cs="Arial"/>
                <w:b/>
                <w:color w:val="006600"/>
                <w:sz w:val="22"/>
                <w:szCs w:val="20"/>
              </w:rPr>
              <w:t xml:space="preserve">New: Dementia in care </w:t>
            </w:r>
            <w:r>
              <w:rPr>
                <w:rFonts w:ascii="Arial" w:hAnsi="Arial" w:cs="Arial"/>
                <w:b/>
                <w:color w:val="006600"/>
                <w:sz w:val="22"/>
                <w:szCs w:val="20"/>
              </w:rPr>
              <w:t>H</w:t>
            </w:r>
            <w:r w:rsidRPr="00251F07">
              <w:rPr>
                <w:rFonts w:ascii="Arial" w:hAnsi="Arial" w:cs="Arial"/>
                <w:b/>
                <w:color w:val="006600"/>
                <w:sz w:val="22"/>
                <w:szCs w:val="20"/>
              </w:rPr>
              <w:t>omes and COVID-19</w:t>
            </w:r>
          </w:p>
          <w:p w:rsidR="00131211" w:rsidRDefault="00251F07" w:rsidP="00251F07">
            <w:pPr>
              <w:rPr>
                <w:rFonts w:ascii="Arial" w:hAnsi="Arial" w:cs="Arial"/>
                <w:color w:val="006600"/>
                <w:sz w:val="20"/>
                <w:szCs w:val="20"/>
              </w:rPr>
            </w:pPr>
            <w:r w:rsidRPr="00251F07">
              <w:rPr>
                <w:rFonts w:ascii="Arial" w:hAnsi="Arial" w:cs="Arial"/>
                <w:color w:val="006600"/>
                <w:sz w:val="20"/>
                <w:szCs w:val="20"/>
              </w:rPr>
              <w:t xml:space="preserve">This quick guide aims to help </w:t>
            </w:r>
            <w:r w:rsidR="00CF157D" w:rsidRPr="00251F07">
              <w:rPr>
                <w:rFonts w:ascii="Arial" w:hAnsi="Arial" w:cs="Arial"/>
                <w:color w:val="006600"/>
                <w:sz w:val="20"/>
                <w:szCs w:val="20"/>
              </w:rPr>
              <w:t>carer’s</w:t>
            </w:r>
            <w:r w:rsidRPr="00251F07">
              <w:rPr>
                <w:rFonts w:ascii="Arial" w:hAnsi="Arial" w:cs="Arial"/>
                <w:color w:val="006600"/>
                <w:sz w:val="20"/>
                <w:szCs w:val="20"/>
              </w:rPr>
              <w:t xml:space="preserve"> better support those living with dementia during the coronavirus (COVID-19) pandemic. The guide covers clinical situations to illustrate some challenges, including understanding signs of COVID-19, helping residents with confusion, managing behavioural challenges as well as end-of-life care.</w:t>
            </w:r>
            <w:r>
              <w:rPr>
                <w:rFonts w:ascii="Arial" w:hAnsi="Arial" w:cs="Arial"/>
                <w:color w:val="006600"/>
                <w:sz w:val="20"/>
                <w:szCs w:val="20"/>
              </w:rPr>
              <w:t xml:space="preserve"> It </w:t>
            </w:r>
            <w:r w:rsidRPr="00251F07">
              <w:rPr>
                <w:rFonts w:ascii="Arial" w:hAnsi="Arial" w:cs="Arial"/>
                <w:color w:val="006600"/>
                <w:sz w:val="20"/>
                <w:szCs w:val="20"/>
              </w:rPr>
              <w:t>discuss</w:t>
            </w:r>
            <w:r>
              <w:rPr>
                <w:rFonts w:ascii="Arial" w:hAnsi="Arial" w:cs="Arial"/>
                <w:color w:val="006600"/>
                <w:sz w:val="20"/>
                <w:szCs w:val="20"/>
              </w:rPr>
              <w:t>es</w:t>
            </w:r>
            <w:r w:rsidRPr="00251F07">
              <w:rPr>
                <w:rFonts w:ascii="Arial" w:hAnsi="Arial" w:cs="Arial"/>
                <w:color w:val="006600"/>
                <w:sz w:val="20"/>
                <w:szCs w:val="20"/>
              </w:rPr>
              <w:t xml:space="preserve"> four clinical situations that may help to illustrate some challenges</w:t>
            </w:r>
            <w:r>
              <w:rPr>
                <w:rFonts w:ascii="Arial" w:hAnsi="Arial" w:cs="Arial"/>
                <w:color w:val="006600"/>
                <w:sz w:val="20"/>
                <w:szCs w:val="20"/>
              </w:rPr>
              <w:t>, including u</w:t>
            </w:r>
            <w:r w:rsidRPr="00251F07">
              <w:rPr>
                <w:rFonts w:ascii="Arial" w:hAnsi="Arial" w:cs="Arial"/>
                <w:color w:val="006600"/>
                <w:sz w:val="20"/>
                <w:szCs w:val="20"/>
              </w:rPr>
              <w:t>nderstanding signs of COVID-19</w:t>
            </w:r>
            <w:r>
              <w:rPr>
                <w:rFonts w:ascii="Arial" w:hAnsi="Arial" w:cs="Arial"/>
                <w:color w:val="006600"/>
                <w:sz w:val="20"/>
                <w:szCs w:val="20"/>
              </w:rPr>
              <w:t>, h</w:t>
            </w:r>
            <w:r w:rsidRPr="00251F07">
              <w:rPr>
                <w:rFonts w:ascii="Arial" w:hAnsi="Arial" w:cs="Arial"/>
                <w:color w:val="006600"/>
                <w:sz w:val="20"/>
                <w:szCs w:val="20"/>
              </w:rPr>
              <w:t>elping residents with confusion</w:t>
            </w:r>
            <w:r>
              <w:rPr>
                <w:rFonts w:ascii="Arial" w:hAnsi="Arial" w:cs="Arial"/>
                <w:color w:val="006600"/>
                <w:sz w:val="20"/>
                <w:szCs w:val="20"/>
              </w:rPr>
              <w:t>. m</w:t>
            </w:r>
            <w:r w:rsidRPr="00251F07">
              <w:rPr>
                <w:rFonts w:ascii="Arial" w:hAnsi="Arial" w:cs="Arial"/>
                <w:color w:val="006600"/>
                <w:sz w:val="20"/>
                <w:szCs w:val="20"/>
              </w:rPr>
              <w:t>anaging behavioural challenges</w:t>
            </w:r>
            <w:r>
              <w:rPr>
                <w:rFonts w:ascii="Arial" w:hAnsi="Arial" w:cs="Arial"/>
                <w:color w:val="006600"/>
                <w:sz w:val="20"/>
                <w:szCs w:val="20"/>
              </w:rPr>
              <w:t xml:space="preserve"> and s</w:t>
            </w:r>
            <w:r w:rsidRPr="00251F07">
              <w:rPr>
                <w:rFonts w:ascii="Arial" w:hAnsi="Arial" w:cs="Arial"/>
                <w:color w:val="006600"/>
                <w:sz w:val="20"/>
                <w:szCs w:val="20"/>
              </w:rPr>
              <w:t>upporting residents with end-of-life care</w:t>
            </w:r>
            <w:r>
              <w:rPr>
                <w:rFonts w:ascii="Arial" w:hAnsi="Arial" w:cs="Arial"/>
                <w:color w:val="006600"/>
                <w:sz w:val="20"/>
                <w:szCs w:val="20"/>
              </w:rPr>
              <w:t>/</w:t>
            </w:r>
          </w:p>
          <w:p w:rsidR="00251F07" w:rsidRDefault="00251F07" w:rsidP="00251F07">
            <w:pPr>
              <w:rPr>
                <w:rFonts w:ascii="Arial" w:hAnsi="Arial" w:cs="Arial"/>
                <w:color w:val="006600"/>
                <w:sz w:val="20"/>
                <w:szCs w:val="20"/>
              </w:rPr>
            </w:pPr>
          </w:p>
          <w:p w:rsidR="00251F07" w:rsidRDefault="008A7ECB" w:rsidP="00251F07">
            <w:pPr>
              <w:rPr>
                <w:rFonts w:ascii="Arial" w:hAnsi="Arial" w:cs="Arial"/>
                <w:color w:val="006600"/>
                <w:sz w:val="20"/>
                <w:szCs w:val="20"/>
              </w:rPr>
            </w:pPr>
            <w:hyperlink r:id="rId11" w:history="1">
              <w:r w:rsidR="00251F07" w:rsidRPr="00251F07">
                <w:rPr>
                  <w:rStyle w:val="Hyperlink"/>
                  <w:rFonts w:ascii="Arial" w:hAnsi="Arial" w:cs="Arial"/>
                  <w:sz w:val="20"/>
                  <w:szCs w:val="20"/>
                </w:rPr>
                <w:t>Guide</w:t>
              </w:r>
            </w:hyperlink>
          </w:p>
          <w:p w:rsidR="00251F07" w:rsidRDefault="00251F07" w:rsidP="00251F07">
            <w:pPr>
              <w:rPr>
                <w:rFonts w:ascii="Arial" w:hAnsi="Arial" w:cs="Arial"/>
                <w:color w:val="006600"/>
                <w:sz w:val="20"/>
                <w:szCs w:val="20"/>
              </w:rPr>
            </w:pPr>
          </w:p>
        </w:tc>
      </w:tr>
      <w:tr w:rsidR="000C2295" w:rsidTr="008A7ECB">
        <w:tc>
          <w:tcPr>
            <w:tcW w:w="19319" w:type="dxa"/>
          </w:tcPr>
          <w:p w:rsidR="00A11EF8" w:rsidRPr="00850F94" w:rsidRDefault="00A11EF8" w:rsidP="003C57F2">
            <w:pPr>
              <w:rPr>
                <w:rFonts w:ascii="Arial" w:hAnsi="Arial" w:cs="Arial"/>
                <w:color w:val="006600"/>
                <w:sz w:val="20"/>
                <w:szCs w:val="20"/>
              </w:rPr>
            </w:pPr>
          </w:p>
          <w:p w:rsidR="00A11EF8" w:rsidRPr="00850F94" w:rsidRDefault="00A62C6F" w:rsidP="00A11EF8">
            <w:pPr>
              <w:rPr>
                <w:rFonts w:ascii="Arial" w:hAnsi="Arial" w:cs="Arial"/>
                <w:b/>
                <w:color w:val="006600"/>
                <w:sz w:val="22"/>
                <w:szCs w:val="20"/>
              </w:rPr>
            </w:pPr>
            <w:r w:rsidRPr="00850F94">
              <w:rPr>
                <w:rFonts w:ascii="Arial" w:hAnsi="Arial" w:cs="Arial"/>
                <w:b/>
                <w:color w:val="006600"/>
                <w:sz w:val="22"/>
                <w:szCs w:val="20"/>
              </w:rPr>
              <w:t>Proportionate Universalism can be our “New Normal”</w:t>
            </w:r>
          </w:p>
          <w:p w:rsidR="00A62C6F" w:rsidRPr="00850F94" w:rsidRDefault="00A62C6F" w:rsidP="00A62C6F">
            <w:pPr>
              <w:rPr>
                <w:rFonts w:ascii="Arial" w:hAnsi="Arial" w:cs="Arial"/>
                <w:color w:val="006600"/>
                <w:sz w:val="20"/>
                <w:szCs w:val="20"/>
              </w:rPr>
            </w:pPr>
            <w:r w:rsidRPr="00850F94">
              <w:rPr>
                <w:rFonts w:ascii="Arial" w:hAnsi="Arial" w:cs="Arial"/>
                <w:color w:val="006600"/>
                <w:sz w:val="20"/>
                <w:szCs w:val="20"/>
              </w:rPr>
              <w:t>This paper discusses the social, economic and political i</w:t>
            </w:r>
            <w:r w:rsidR="003A63EE">
              <w:rPr>
                <w:rFonts w:ascii="Arial" w:hAnsi="Arial" w:cs="Arial"/>
                <w:color w:val="006600"/>
                <w:sz w:val="20"/>
                <w:szCs w:val="20"/>
              </w:rPr>
              <w:t>mpact of the coronavirus crisis and</w:t>
            </w:r>
            <w:r w:rsidRPr="00850F94">
              <w:rPr>
                <w:rFonts w:ascii="Arial" w:hAnsi="Arial" w:cs="Arial"/>
                <w:color w:val="006600"/>
                <w:sz w:val="20"/>
                <w:szCs w:val="20"/>
              </w:rPr>
              <w:t xml:space="preserve"> whether any attempt to simply repair the existing sport and physical activity system is doomed to fail, or </w:t>
            </w:r>
            <w:r w:rsidR="003A63EE">
              <w:rPr>
                <w:rFonts w:ascii="Arial" w:hAnsi="Arial" w:cs="Arial"/>
                <w:color w:val="006600"/>
                <w:sz w:val="20"/>
                <w:szCs w:val="20"/>
              </w:rPr>
              <w:t xml:space="preserve">whether </w:t>
            </w:r>
            <w:r w:rsidRPr="00850F94">
              <w:rPr>
                <w:rFonts w:ascii="Arial" w:hAnsi="Arial" w:cs="Arial"/>
                <w:color w:val="006600"/>
                <w:sz w:val="20"/>
                <w:szCs w:val="20"/>
              </w:rPr>
              <w:t xml:space="preserve">the only sustainable way forward is a radical rethink. Whilst governmental and public attitudes towards the value of physical activity may be changing there can be no guarantee that this will translate into a simple expansion of existing patterns of behaviour and therefore a growth in the current market. In fact, in the medium to long term the </w:t>
            </w:r>
            <w:r w:rsidR="00850F94" w:rsidRPr="00850F94">
              <w:rPr>
                <w:rFonts w:ascii="Arial" w:hAnsi="Arial" w:cs="Arial"/>
                <w:color w:val="006600"/>
                <w:sz w:val="20"/>
                <w:szCs w:val="20"/>
              </w:rPr>
              <w:t>current</w:t>
            </w:r>
            <w:r w:rsidRPr="00850F94">
              <w:rPr>
                <w:rFonts w:ascii="Arial" w:hAnsi="Arial" w:cs="Arial"/>
                <w:color w:val="006600"/>
                <w:sz w:val="20"/>
                <w:szCs w:val="20"/>
              </w:rPr>
              <w:t xml:space="preserve"> business models will not recover sufficiently to maintain even the current infrastructure.</w:t>
            </w:r>
          </w:p>
          <w:p w:rsidR="00850F94" w:rsidRPr="00850F94" w:rsidRDefault="00850F94" w:rsidP="00A62C6F">
            <w:pPr>
              <w:rPr>
                <w:rFonts w:ascii="Arial" w:hAnsi="Arial" w:cs="Arial"/>
                <w:color w:val="006600"/>
                <w:sz w:val="20"/>
                <w:szCs w:val="20"/>
              </w:rPr>
            </w:pPr>
          </w:p>
          <w:p w:rsidR="00A62C6F" w:rsidRPr="00850F94" w:rsidRDefault="00A62C6F" w:rsidP="00A62C6F">
            <w:pPr>
              <w:rPr>
                <w:rFonts w:ascii="Arial" w:hAnsi="Arial" w:cs="Arial"/>
                <w:color w:val="006600"/>
                <w:sz w:val="20"/>
                <w:szCs w:val="20"/>
              </w:rPr>
            </w:pPr>
            <w:r w:rsidRPr="00850F94">
              <w:rPr>
                <w:rFonts w:ascii="Arial" w:hAnsi="Arial" w:cs="Arial"/>
                <w:color w:val="006600"/>
                <w:sz w:val="20"/>
                <w:szCs w:val="20"/>
              </w:rPr>
              <w:t xml:space="preserve">The only way the system will be sustained will be </w:t>
            </w:r>
            <w:r w:rsidR="00850F94" w:rsidRPr="00850F94">
              <w:rPr>
                <w:rFonts w:ascii="Arial" w:hAnsi="Arial" w:cs="Arial"/>
                <w:color w:val="006600"/>
                <w:sz w:val="20"/>
                <w:szCs w:val="20"/>
              </w:rPr>
              <w:t>complete overall</w:t>
            </w:r>
            <w:r w:rsidRPr="00850F94">
              <w:rPr>
                <w:rFonts w:ascii="Arial" w:hAnsi="Arial" w:cs="Arial"/>
                <w:color w:val="006600"/>
                <w:sz w:val="20"/>
                <w:szCs w:val="20"/>
              </w:rPr>
              <w:t xml:space="preserve"> of public funding </w:t>
            </w:r>
            <w:r w:rsidR="00850F94" w:rsidRPr="00850F94">
              <w:rPr>
                <w:rFonts w:ascii="Arial" w:hAnsi="Arial" w:cs="Arial"/>
                <w:color w:val="006600"/>
                <w:sz w:val="20"/>
                <w:szCs w:val="20"/>
              </w:rPr>
              <w:t xml:space="preserve">whilst </w:t>
            </w:r>
            <w:r w:rsidRPr="00850F94">
              <w:rPr>
                <w:rFonts w:ascii="Arial" w:hAnsi="Arial" w:cs="Arial"/>
                <w:color w:val="006600"/>
                <w:sz w:val="20"/>
                <w:szCs w:val="20"/>
              </w:rPr>
              <w:t>the scale and nature of this</w:t>
            </w:r>
            <w:r w:rsidR="00850F94" w:rsidRPr="00850F94">
              <w:rPr>
                <w:rFonts w:ascii="Arial" w:hAnsi="Arial" w:cs="Arial"/>
                <w:color w:val="006600"/>
                <w:sz w:val="20"/>
                <w:szCs w:val="20"/>
              </w:rPr>
              <w:t xml:space="preserve"> funding</w:t>
            </w:r>
            <w:r w:rsidRPr="00850F94">
              <w:rPr>
                <w:rFonts w:ascii="Arial" w:hAnsi="Arial" w:cs="Arial"/>
                <w:color w:val="006600"/>
                <w:sz w:val="20"/>
                <w:szCs w:val="20"/>
              </w:rPr>
              <w:t xml:space="preserve"> will be s</w:t>
            </w:r>
            <w:r w:rsidR="00850F94" w:rsidRPr="00850F94">
              <w:rPr>
                <w:rFonts w:ascii="Arial" w:hAnsi="Arial" w:cs="Arial"/>
                <w:color w:val="006600"/>
                <w:sz w:val="20"/>
                <w:szCs w:val="20"/>
              </w:rPr>
              <w:t>ignificantly</w:t>
            </w:r>
            <w:r w:rsidRPr="00850F94">
              <w:rPr>
                <w:rFonts w:ascii="Arial" w:hAnsi="Arial" w:cs="Arial"/>
                <w:color w:val="006600"/>
                <w:sz w:val="20"/>
                <w:szCs w:val="20"/>
              </w:rPr>
              <w:t xml:space="preserve"> limited. This will mean </w:t>
            </w:r>
            <w:r w:rsidR="00850F94" w:rsidRPr="00850F94">
              <w:rPr>
                <w:rFonts w:ascii="Arial" w:hAnsi="Arial" w:cs="Arial"/>
                <w:color w:val="006600"/>
                <w:sz w:val="20"/>
                <w:szCs w:val="20"/>
              </w:rPr>
              <w:t>a</w:t>
            </w:r>
            <w:r w:rsidRPr="00850F94">
              <w:rPr>
                <w:rFonts w:ascii="Arial" w:hAnsi="Arial" w:cs="Arial"/>
                <w:color w:val="006600"/>
                <w:sz w:val="20"/>
                <w:szCs w:val="20"/>
              </w:rPr>
              <w:t xml:space="preserve"> reprioritisation of </w:t>
            </w:r>
            <w:r w:rsidR="00850F94" w:rsidRPr="00850F94">
              <w:rPr>
                <w:rFonts w:ascii="Arial" w:hAnsi="Arial" w:cs="Arial"/>
                <w:color w:val="006600"/>
                <w:sz w:val="20"/>
                <w:szCs w:val="20"/>
              </w:rPr>
              <w:t xml:space="preserve">the sector </w:t>
            </w:r>
            <w:r w:rsidRPr="00850F94">
              <w:rPr>
                <w:rFonts w:ascii="Arial" w:hAnsi="Arial" w:cs="Arial"/>
                <w:color w:val="006600"/>
                <w:sz w:val="20"/>
                <w:szCs w:val="20"/>
              </w:rPr>
              <w:t xml:space="preserve">and </w:t>
            </w:r>
            <w:r w:rsidR="00850F94" w:rsidRPr="00850F94">
              <w:rPr>
                <w:rFonts w:ascii="Arial" w:hAnsi="Arial" w:cs="Arial"/>
                <w:color w:val="006600"/>
                <w:sz w:val="20"/>
                <w:szCs w:val="20"/>
              </w:rPr>
              <w:t xml:space="preserve">also the way </w:t>
            </w:r>
            <w:r w:rsidRPr="00850F94">
              <w:rPr>
                <w:rFonts w:ascii="Arial" w:hAnsi="Arial" w:cs="Arial"/>
                <w:color w:val="006600"/>
                <w:sz w:val="20"/>
                <w:szCs w:val="20"/>
              </w:rPr>
              <w:t>it provides it</w:t>
            </w:r>
            <w:r w:rsidR="00850F94" w:rsidRPr="00850F94">
              <w:rPr>
                <w:rFonts w:ascii="Arial" w:hAnsi="Arial" w:cs="Arial"/>
                <w:color w:val="006600"/>
                <w:sz w:val="20"/>
                <w:szCs w:val="20"/>
              </w:rPr>
              <w:t>. The paper also suggests that the whole physical activity system will need a</w:t>
            </w:r>
            <w:r w:rsidRPr="00850F94">
              <w:rPr>
                <w:rFonts w:ascii="Arial" w:hAnsi="Arial" w:cs="Arial"/>
                <w:color w:val="006600"/>
                <w:sz w:val="20"/>
                <w:szCs w:val="20"/>
              </w:rPr>
              <w:t xml:space="preserve"> different approach </w:t>
            </w:r>
            <w:r w:rsidR="00850F94" w:rsidRPr="00850F94">
              <w:rPr>
                <w:rFonts w:ascii="Arial" w:hAnsi="Arial" w:cs="Arial"/>
                <w:color w:val="006600"/>
                <w:sz w:val="20"/>
                <w:szCs w:val="20"/>
              </w:rPr>
              <w:t>to</w:t>
            </w:r>
            <w:r w:rsidRPr="00850F94">
              <w:rPr>
                <w:rFonts w:ascii="Arial" w:hAnsi="Arial" w:cs="Arial"/>
                <w:color w:val="006600"/>
                <w:sz w:val="20"/>
                <w:szCs w:val="20"/>
              </w:rPr>
              <w:t xml:space="preserve"> the </w:t>
            </w:r>
            <w:r w:rsidR="00850F94" w:rsidRPr="00850F94">
              <w:rPr>
                <w:rFonts w:ascii="Arial" w:hAnsi="Arial" w:cs="Arial"/>
                <w:color w:val="006600"/>
                <w:sz w:val="20"/>
                <w:szCs w:val="20"/>
              </w:rPr>
              <w:t xml:space="preserve">way the </w:t>
            </w:r>
            <w:r w:rsidRPr="00850F94">
              <w:rPr>
                <w:rFonts w:ascii="Arial" w:hAnsi="Arial" w:cs="Arial"/>
                <w:color w:val="006600"/>
                <w:sz w:val="20"/>
                <w:szCs w:val="20"/>
              </w:rPr>
              <w:t>sector</w:t>
            </w:r>
            <w:r w:rsidR="00850F94" w:rsidRPr="00850F94">
              <w:rPr>
                <w:rFonts w:ascii="Arial" w:hAnsi="Arial" w:cs="Arial"/>
                <w:color w:val="006600"/>
                <w:sz w:val="20"/>
                <w:szCs w:val="20"/>
              </w:rPr>
              <w:t xml:space="preserve"> behaves, operates and performs. </w:t>
            </w:r>
            <w:r w:rsidRPr="00850F94">
              <w:rPr>
                <w:rFonts w:ascii="Arial" w:hAnsi="Arial" w:cs="Arial"/>
                <w:color w:val="006600"/>
                <w:sz w:val="20"/>
                <w:szCs w:val="20"/>
              </w:rPr>
              <w:t xml:space="preserve">In order to justify </w:t>
            </w:r>
            <w:r w:rsidR="00850F94" w:rsidRPr="00850F94">
              <w:rPr>
                <w:rFonts w:ascii="Arial" w:hAnsi="Arial" w:cs="Arial"/>
                <w:color w:val="006600"/>
                <w:sz w:val="20"/>
                <w:szCs w:val="20"/>
              </w:rPr>
              <w:t xml:space="preserve">any </w:t>
            </w:r>
            <w:r w:rsidRPr="00850F94">
              <w:rPr>
                <w:rFonts w:ascii="Arial" w:hAnsi="Arial" w:cs="Arial"/>
                <w:color w:val="006600"/>
                <w:sz w:val="20"/>
                <w:szCs w:val="20"/>
              </w:rPr>
              <w:t>additional public investment, the sector will need to better demonstrate its contribution to addressing the real and increasing social and health inequalities. To do this it will have to address its current and increasing bias towards meeting the needs of those most able to pay by working to improve the health and wellbeing of everyone but giving a greater priority to those in greatest need. To do this it will have to fully embrace the principle of “Proportionate Universalism”.</w:t>
            </w:r>
          </w:p>
          <w:p w:rsidR="00850F94" w:rsidRDefault="00850F94" w:rsidP="00A62C6F">
            <w:pPr>
              <w:rPr>
                <w:rFonts w:ascii="Arial" w:hAnsi="Arial" w:cs="Arial"/>
                <w:sz w:val="20"/>
                <w:szCs w:val="20"/>
              </w:rPr>
            </w:pPr>
          </w:p>
          <w:p w:rsidR="00A62C6F" w:rsidRDefault="008A7ECB" w:rsidP="00A11EF8">
            <w:pPr>
              <w:rPr>
                <w:rFonts w:ascii="Arial" w:hAnsi="Arial" w:cs="Arial"/>
                <w:sz w:val="20"/>
                <w:szCs w:val="20"/>
              </w:rPr>
            </w:pPr>
            <w:hyperlink r:id="rId12" w:history="1">
              <w:r w:rsidR="00850F94" w:rsidRPr="00FB70E9">
                <w:rPr>
                  <w:rStyle w:val="Hyperlink"/>
                  <w:rFonts w:ascii="Arial" w:hAnsi="Arial" w:cs="Arial"/>
                  <w:sz w:val="20"/>
                  <w:szCs w:val="20"/>
                </w:rPr>
                <w:t>Paper</w:t>
              </w:r>
            </w:hyperlink>
          </w:p>
          <w:p w:rsidR="00A62C6F" w:rsidRPr="000C2295" w:rsidRDefault="00A62C6F" w:rsidP="00A11EF8">
            <w:pPr>
              <w:rPr>
                <w:rFonts w:ascii="Arial" w:hAnsi="Arial" w:cs="Arial"/>
                <w:sz w:val="20"/>
                <w:szCs w:val="20"/>
              </w:rPr>
            </w:pPr>
          </w:p>
        </w:tc>
      </w:tr>
      <w:tr w:rsidR="00F67BAF" w:rsidTr="008A7ECB">
        <w:tc>
          <w:tcPr>
            <w:tcW w:w="19319" w:type="dxa"/>
          </w:tcPr>
          <w:p w:rsidR="00C608AD" w:rsidRPr="003A0668" w:rsidRDefault="00C608AD" w:rsidP="00C608AD">
            <w:pPr>
              <w:rPr>
                <w:rFonts w:ascii="Arial" w:hAnsi="Arial" w:cs="Arial"/>
                <w:b/>
                <w:color w:val="006600"/>
                <w:sz w:val="22"/>
                <w:szCs w:val="20"/>
              </w:rPr>
            </w:pPr>
          </w:p>
          <w:p w:rsidR="00C608AD" w:rsidRPr="003A0668" w:rsidRDefault="00C608AD" w:rsidP="00C608AD">
            <w:pPr>
              <w:rPr>
                <w:rFonts w:ascii="Arial" w:hAnsi="Arial" w:cs="Arial"/>
                <w:b/>
                <w:color w:val="006600"/>
                <w:sz w:val="22"/>
                <w:szCs w:val="20"/>
              </w:rPr>
            </w:pPr>
            <w:r w:rsidRPr="003A0668">
              <w:rPr>
                <w:rFonts w:ascii="Arial" w:hAnsi="Arial" w:cs="Arial"/>
                <w:b/>
                <w:color w:val="006600"/>
                <w:sz w:val="22"/>
                <w:szCs w:val="20"/>
              </w:rPr>
              <w:t xml:space="preserve">Are </w:t>
            </w:r>
            <w:r w:rsidR="003A0668">
              <w:rPr>
                <w:rFonts w:ascii="Arial" w:hAnsi="Arial" w:cs="Arial"/>
                <w:b/>
                <w:color w:val="006600"/>
                <w:sz w:val="22"/>
                <w:szCs w:val="20"/>
              </w:rPr>
              <w:t>some Ethnic Groups m</w:t>
            </w:r>
            <w:r w:rsidR="003A0668" w:rsidRPr="003A0668">
              <w:rPr>
                <w:rFonts w:ascii="Arial" w:hAnsi="Arial" w:cs="Arial"/>
                <w:b/>
                <w:color w:val="006600"/>
                <w:sz w:val="22"/>
                <w:szCs w:val="20"/>
              </w:rPr>
              <w:t xml:space="preserve">ore Vulnerable To </w:t>
            </w:r>
            <w:r w:rsidRPr="003A0668">
              <w:rPr>
                <w:rFonts w:ascii="Arial" w:hAnsi="Arial" w:cs="Arial"/>
                <w:b/>
                <w:color w:val="006600"/>
                <w:sz w:val="22"/>
                <w:szCs w:val="20"/>
              </w:rPr>
              <w:t>Covid</w:t>
            </w:r>
            <w:r w:rsidR="003A0668">
              <w:rPr>
                <w:rFonts w:ascii="Arial" w:hAnsi="Arial" w:cs="Arial"/>
                <w:b/>
                <w:color w:val="006600"/>
                <w:sz w:val="22"/>
                <w:szCs w:val="20"/>
              </w:rPr>
              <w:t>-19 t</w:t>
            </w:r>
            <w:r w:rsidR="003A0668" w:rsidRPr="003A0668">
              <w:rPr>
                <w:rFonts w:ascii="Arial" w:hAnsi="Arial" w:cs="Arial"/>
                <w:b/>
                <w:color w:val="006600"/>
                <w:sz w:val="22"/>
                <w:szCs w:val="20"/>
              </w:rPr>
              <w:t>han Others?</w:t>
            </w:r>
          </w:p>
          <w:p w:rsidR="003A0668" w:rsidRPr="003A0668" w:rsidRDefault="00C608AD" w:rsidP="00C608AD">
            <w:pPr>
              <w:rPr>
                <w:rFonts w:ascii="Arial" w:hAnsi="Arial" w:cs="Arial"/>
                <w:color w:val="006600"/>
                <w:sz w:val="20"/>
                <w:szCs w:val="20"/>
              </w:rPr>
            </w:pPr>
            <w:r w:rsidRPr="003A0668">
              <w:rPr>
                <w:rFonts w:ascii="Arial" w:hAnsi="Arial" w:cs="Arial"/>
                <w:color w:val="006600"/>
                <w:sz w:val="20"/>
                <w:szCs w:val="20"/>
              </w:rPr>
              <w:t xml:space="preserve">The COVID-19 pandemic has affected some sections of the population more than others, and there are growing concerns that the UK’s minority ethnic groups are being disproportionately affected. Following evidence that minority groups are overrepresented in hospitalisations and deaths from the </w:t>
            </w:r>
            <w:r w:rsidR="003A0668" w:rsidRPr="003A0668">
              <w:rPr>
                <w:rFonts w:ascii="Arial" w:hAnsi="Arial" w:cs="Arial"/>
                <w:color w:val="006600"/>
                <w:sz w:val="20"/>
                <w:szCs w:val="20"/>
              </w:rPr>
              <w:t xml:space="preserve">virus. </w:t>
            </w:r>
          </w:p>
          <w:p w:rsidR="003A0668" w:rsidRPr="003A0668" w:rsidRDefault="003A0668" w:rsidP="00C608AD">
            <w:pPr>
              <w:rPr>
                <w:rFonts w:ascii="Arial" w:hAnsi="Arial" w:cs="Arial"/>
                <w:color w:val="006600"/>
                <w:sz w:val="20"/>
                <w:szCs w:val="20"/>
              </w:rPr>
            </w:pPr>
          </w:p>
          <w:p w:rsidR="00933B07" w:rsidRPr="003A0668" w:rsidRDefault="00C608AD" w:rsidP="00C608AD">
            <w:pPr>
              <w:rPr>
                <w:rFonts w:ascii="Arial" w:hAnsi="Arial" w:cs="Arial"/>
                <w:color w:val="006600"/>
                <w:sz w:val="20"/>
                <w:szCs w:val="20"/>
              </w:rPr>
            </w:pPr>
            <w:r w:rsidRPr="003A0668">
              <w:rPr>
                <w:rFonts w:ascii="Arial" w:hAnsi="Arial" w:cs="Arial"/>
                <w:color w:val="006600"/>
                <w:sz w:val="20"/>
                <w:szCs w:val="20"/>
              </w:rPr>
              <w:t>This report brings together evidence on the unequal health and economic impacts of Covid-19 on the UK’s minority ethnic groups, presenting information on risk factors for each of the largest minority groups in England and Wales: White other, Indian, Pakistani, Bangladeshi, Black African and Black Caribbean.</w:t>
            </w:r>
          </w:p>
          <w:p w:rsidR="00C608AD" w:rsidRDefault="00C608AD" w:rsidP="00C608AD">
            <w:pPr>
              <w:rPr>
                <w:rFonts w:ascii="Arial" w:hAnsi="Arial" w:cs="Arial"/>
                <w:sz w:val="20"/>
                <w:szCs w:val="20"/>
              </w:rPr>
            </w:pPr>
          </w:p>
          <w:p w:rsidR="003A0668" w:rsidRDefault="008A7ECB" w:rsidP="00C608AD">
            <w:pPr>
              <w:rPr>
                <w:rFonts w:ascii="Arial" w:hAnsi="Arial" w:cs="Arial"/>
                <w:sz w:val="20"/>
                <w:szCs w:val="20"/>
              </w:rPr>
            </w:pPr>
            <w:hyperlink r:id="rId13" w:history="1">
              <w:r w:rsidR="003A0668" w:rsidRPr="003A0668">
                <w:rPr>
                  <w:rStyle w:val="Hyperlink"/>
                  <w:rFonts w:ascii="Arial" w:hAnsi="Arial" w:cs="Arial"/>
                  <w:sz w:val="20"/>
                  <w:szCs w:val="20"/>
                </w:rPr>
                <w:t>Report</w:t>
              </w:r>
            </w:hyperlink>
          </w:p>
          <w:p w:rsidR="00C608AD" w:rsidRPr="00F67BAF" w:rsidRDefault="00C608AD" w:rsidP="00C608AD">
            <w:pPr>
              <w:rPr>
                <w:rFonts w:ascii="Arial" w:hAnsi="Arial" w:cs="Arial"/>
                <w:sz w:val="20"/>
                <w:szCs w:val="20"/>
              </w:rPr>
            </w:pPr>
          </w:p>
        </w:tc>
      </w:tr>
      <w:tr w:rsidR="000C2295" w:rsidTr="008A7ECB">
        <w:tc>
          <w:tcPr>
            <w:tcW w:w="19319" w:type="dxa"/>
          </w:tcPr>
          <w:p w:rsidR="00165857" w:rsidRDefault="00165857" w:rsidP="009E4FC9">
            <w:pPr>
              <w:rPr>
                <w:rFonts w:ascii="Arial" w:hAnsi="Arial" w:cs="Arial"/>
                <w:sz w:val="20"/>
                <w:szCs w:val="20"/>
              </w:rPr>
            </w:pPr>
          </w:p>
          <w:p w:rsidR="003A0668" w:rsidRPr="003A0668" w:rsidRDefault="003A0668" w:rsidP="003A0668">
            <w:pPr>
              <w:rPr>
                <w:rFonts w:ascii="Arial" w:hAnsi="Arial" w:cs="Arial"/>
                <w:b/>
                <w:color w:val="006600"/>
                <w:sz w:val="22"/>
                <w:szCs w:val="20"/>
              </w:rPr>
            </w:pPr>
            <w:r w:rsidRPr="003A0668">
              <w:rPr>
                <w:rFonts w:ascii="Arial" w:hAnsi="Arial" w:cs="Arial"/>
                <w:b/>
                <w:color w:val="006600"/>
                <w:sz w:val="22"/>
                <w:szCs w:val="20"/>
              </w:rPr>
              <w:t xml:space="preserve">Preparing </w:t>
            </w:r>
            <w:r>
              <w:rPr>
                <w:rFonts w:ascii="Arial" w:hAnsi="Arial" w:cs="Arial"/>
                <w:b/>
                <w:color w:val="006600"/>
                <w:sz w:val="22"/>
                <w:szCs w:val="20"/>
              </w:rPr>
              <w:t>for the Return to Work Outside t</w:t>
            </w:r>
            <w:r w:rsidRPr="003A0668">
              <w:rPr>
                <w:rFonts w:ascii="Arial" w:hAnsi="Arial" w:cs="Arial"/>
                <w:b/>
                <w:color w:val="006600"/>
                <w:sz w:val="22"/>
                <w:szCs w:val="20"/>
              </w:rPr>
              <w:t>he Home: A Trade Union Approach</w:t>
            </w:r>
          </w:p>
          <w:p w:rsidR="003A0668" w:rsidRPr="003A0668" w:rsidRDefault="003A0668" w:rsidP="003A0668">
            <w:pPr>
              <w:rPr>
                <w:rFonts w:ascii="Arial" w:hAnsi="Arial" w:cs="Arial"/>
                <w:color w:val="006600"/>
                <w:sz w:val="20"/>
                <w:szCs w:val="20"/>
              </w:rPr>
            </w:pPr>
            <w:r w:rsidRPr="003A0668">
              <w:rPr>
                <w:rFonts w:ascii="Arial" w:hAnsi="Arial" w:cs="Arial"/>
                <w:color w:val="006600"/>
                <w:sz w:val="20"/>
                <w:szCs w:val="20"/>
              </w:rPr>
              <w:t>The coronavirus outbreak has led to a dramatic change in working practices across Britain. Millions of frontline staff, in care homes, shops, and transport and across our public services are keeping the country running while facing risks to their own and their families’ health. Nearly half of businesses have people working from home, and over a quarter of the workforce have been furloughed, using the newly introduced job retention scheme.</w:t>
            </w:r>
          </w:p>
          <w:p w:rsidR="003A0668" w:rsidRPr="003A0668" w:rsidRDefault="003A0668" w:rsidP="003A0668">
            <w:pPr>
              <w:rPr>
                <w:rFonts w:ascii="Arial" w:hAnsi="Arial" w:cs="Arial"/>
                <w:color w:val="006600"/>
                <w:sz w:val="20"/>
                <w:szCs w:val="20"/>
              </w:rPr>
            </w:pPr>
          </w:p>
          <w:p w:rsidR="003A0668" w:rsidRPr="003A0668" w:rsidRDefault="003A0668" w:rsidP="003A0668">
            <w:pPr>
              <w:rPr>
                <w:rFonts w:ascii="Arial" w:hAnsi="Arial" w:cs="Arial"/>
                <w:color w:val="006600"/>
                <w:sz w:val="20"/>
                <w:szCs w:val="20"/>
              </w:rPr>
            </w:pPr>
            <w:r w:rsidRPr="003A0668">
              <w:rPr>
                <w:rFonts w:ascii="Arial" w:hAnsi="Arial" w:cs="Arial"/>
                <w:color w:val="006600"/>
                <w:sz w:val="20"/>
                <w:szCs w:val="20"/>
              </w:rPr>
              <w:t>It is vital that workers’ health, safety and livelihoods are protected as we continue to work or return to work outside the home. During this pandemic, unions across the UK in multiple sectors have negotiated agreements with employers to protect workers’ safety. As the return to work begins, unions will seek to negotiate safe return to work policies. But too many employers (especially those where there is as yet no recognised union) have undermined the safety and wellbeing of staff by their actions.</w:t>
            </w:r>
          </w:p>
          <w:p w:rsidR="003A0668" w:rsidRPr="003A0668" w:rsidRDefault="003A0668" w:rsidP="003A0668">
            <w:pPr>
              <w:rPr>
                <w:rFonts w:ascii="Arial" w:hAnsi="Arial" w:cs="Arial"/>
                <w:color w:val="006600"/>
                <w:sz w:val="20"/>
                <w:szCs w:val="20"/>
              </w:rPr>
            </w:pPr>
          </w:p>
          <w:p w:rsidR="003A0668" w:rsidRPr="003A0668" w:rsidRDefault="003A0668" w:rsidP="003A0668">
            <w:pPr>
              <w:rPr>
                <w:rFonts w:ascii="Arial" w:hAnsi="Arial" w:cs="Arial"/>
                <w:color w:val="006600"/>
                <w:sz w:val="20"/>
                <w:szCs w:val="20"/>
              </w:rPr>
            </w:pPr>
            <w:r w:rsidRPr="003A0668">
              <w:rPr>
                <w:rFonts w:ascii="Arial" w:hAnsi="Arial" w:cs="Arial"/>
                <w:color w:val="006600"/>
                <w:sz w:val="20"/>
                <w:szCs w:val="20"/>
              </w:rPr>
              <w:t>This report sets out what we believe the government must do now to ensure a safe transition from lockdown, looking at how to safely return to work outside the home, the enforcement measures needed to protect workers, and how best to protect workers’ livelihoods.</w:t>
            </w:r>
          </w:p>
          <w:p w:rsidR="003A0668" w:rsidRDefault="003A0668" w:rsidP="003A0668">
            <w:pPr>
              <w:rPr>
                <w:rFonts w:ascii="Arial" w:hAnsi="Arial" w:cs="Arial"/>
                <w:sz w:val="20"/>
                <w:szCs w:val="20"/>
              </w:rPr>
            </w:pPr>
          </w:p>
          <w:p w:rsidR="003A0668" w:rsidRDefault="008A7ECB" w:rsidP="003A0668">
            <w:pPr>
              <w:rPr>
                <w:rFonts w:ascii="Arial" w:hAnsi="Arial" w:cs="Arial"/>
                <w:sz w:val="20"/>
                <w:szCs w:val="20"/>
              </w:rPr>
            </w:pPr>
            <w:hyperlink r:id="rId14" w:history="1">
              <w:r w:rsidR="003A0668" w:rsidRPr="003A0668">
                <w:rPr>
                  <w:rStyle w:val="Hyperlink"/>
                  <w:rFonts w:ascii="Arial" w:hAnsi="Arial" w:cs="Arial"/>
                  <w:sz w:val="20"/>
                  <w:szCs w:val="20"/>
                </w:rPr>
                <w:t>Report</w:t>
              </w:r>
            </w:hyperlink>
          </w:p>
          <w:p w:rsidR="003A0668" w:rsidRPr="000C2295" w:rsidRDefault="003A0668" w:rsidP="003A0668">
            <w:pPr>
              <w:rPr>
                <w:rFonts w:ascii="Arial" w:hAnsi="Arial" w:cs="Arial"/>
                <w:sz w:val="20"/>
                <w:szCs w:val="20"/>
              </w:rPr>
            </w:pPr>
          </w:p>
        </w:tc>
      </w:tr>
      <w:tr w:rsidR="009E4FC9" w:rsidTr="008A7ECB">
        <w:tc>
          <w:tcPr>
            <w:tcW w:w="19319" w:type="dxa"/>
          </w:tcPr>
          <w:p w:rsidR="002D3C18" w:rsidRPr="002C047E" w:rsidRDefault="002D3C18" w:rsidP="002D3C18">
            <w:pPr>
              <w:rPr>
                <w:rFonts w:ascii="Arial" w:hAnsi="Arial" w:cs="Arial"/>
                <w:b/>
                <w:color w:val="006600"/>
                <w:sz w:val="22"/>
                <w:szCs w:val="20"/>
              </w:rPr>
            </w:pPr>
          </w:p>
          <w:p w:rsidR="002D3C18" w:rsidRPr="002C047E" w:rsidRDefault="002C047E" w:rsidP="002D3C18">
            <w:pPr>
              <w:rPr>
                <w:rFonts w:ascii="Arial" w:hAnsi="Arial" w:cs="Arial"/>
                <w:b/>
                <w:color w:val="006600"/>
                <w:sz w:val="22"/>
                <w:szCs w:val="20"/>
              </w:rPr>
            </w:pPr>
            <w:r>
              <w:rPr>
                <w:rFonts w:ascii="Arial" w:hAnsi="Arial" w:cs="Arial"/>
                <w:b/>
                <w:color w:val="006600"/>
                <w:sz w:val="22"/>
                <w:szCs w:val="20"/>
              </w:rPr>
              <w:t>Statutory H</w:t>
            </w:r>
            <w:r w:rsidR="002D3C18" w:rsidRPr="002C047E">
              <w:rPr>
                <w:rFonts w:ascii="Arial" w:hAnsi="Arial" w:cs="Arial"/>
                <w:b/>
                <w:color w:val="006600"/>
                <w:sz w:val="22"/>
                <w:szCs w:val="20"/>
              </w:rPr>
              <w:t>omelessness in England</w:t>
            </w:r>
          </w:p>
          <w:p w:rsidR="00DA33A6" w:rsidRPr="002C047E" w:rsidRDefault="002D3C18" w:rsidP="002D3C18">
            <w:pPr>
              <w:rPr>
                <w:rFonts w:ascii="Arial" w:hAnsi="Arial" w:cs="Arial"/>
                <w:color w:val="006600"/>
                <w:sz w:val="20"/>
                <w:szCs w:val="20"/>
              </w:rPr>
            </w:pPr>
            <w:r w:rsidRPr="002C047E">
              <w:rPr>
                <w:rFonts w:ascii="Arial" w:hAnsi="Arial" w:cs="Arial"/>
                <w:color w:val="006600"/>
                <w:sz w:val="20"/>
                <w:szCs w:val="20"/>
              </w:rPr>
              <w:t>This briefing paper provides statistics on statutory homelessness in England and explains local authorities' duties to assist homeless households. The paper includes an overview of, and comment on, government policy in this area. The Government has referred to putting tackling homelessness and rough sleeping “firmly at the heart” of its agenda. There is a commitment to end rough sleeping by the end of the Parliament in 2024 – 3 years earlier that the commitment by the previous Government</w:t>
            </w:r>
            <w:r w:rsidR="002C047E" w:rsidRPr="002C047E">
              <w:rPr>
                <w:rFonts w:ascii="Arial" w:hAnsi="Arial" w:cs="Arial"/>
                <w:color w:val="006600"/>
                <w:sz w:val="20"/>
                <w:szCs w:val="20"/>
              </w:rPr>
              <w:t>. However, the report suggests that this will not be successful unless it is matched by a renewed focus across government on tackling the twin issues of both the supply and affordability of decent housing, which underlie the causes of homelessness.</w:t>
            </w:r>
          </w:p>
          <w:p w:rsidR="002C047E" w:rsidRDefault="002C047E" w:rsidP="002D3C18">
            <w:pPr>
              <w:rPr>
                <w:rFonts w:ascii="Arial" w:hAnsi="Arial" w:cs="Arial"/>
                <w:b/>
                <w:sz w:val="22"/>
                <w:szCs w:val="20"/>
              </w:rPr>
            </w:pPr>
          </w:p>
          <w:p w:rsidR="002C047E" w:rsidRPr="002C047E" w:rsidRDefault="008A7ECB" w:rsidP="002D3C18">
            <w:pPr>
              <w:rPr>
                <w:rFonts w:ascii="Arial" w:hAnsi="Arial" w:cs="Arial"/>
                <w:sz w:val="22"/>
                <w:szCs w:val="20"/>
              </w:rPr>
            </w:pPr>
            <w:hyperlink r:id="rId15" w:history="1">
              <w:r w:rsidR="002C047E" w:rsidRPr="002C047E">
                <w:rPr>
                  <w:rStyle w:val="Hyperlink"/>
                  <w:rFonts w:ascii="Arial" w:hAnsi="Arial" w:cs="Arial"/>
                  <w:sz w:val="22"/>
                  <w:szCs w:val="20"/>
                </w:rPr>
                <w:t>Report</w:t>
              </w:r>
            </w:hyperlink>
          </w:p>
          <w:p w:rsidR="002D3C18" w:rsidRPr="00EB30E0" w:rsidRDefault="002D3C18" w:rsidP="002D3C18">
            <w:pPr>
              <w:rPr>
                <w:rFonts w:ascii="Arial" w:hAnsi="Arial" w:cs="Arial"/>
                <w:b/>
                <w:sz w:val="22"/>
                <w:szCs w:val="20"/>
              </w:rPr>
            </w:pPr>
          </w:p>
        </w:tc>
      </w:tr>
      <w:tr w:rsidR="000C2295" w:rsidTr="008A7ECB">
        <w:tc>
          <w:tcPr>
            <w:tcW w:w="19319" w:type="dxa"/>
          </w:tcPr>
          <w:p w:rsidR="00B96C89" w:rsidRDefault="00B96C89" w:rsidP="00B96C89">
            <w:pPr>
              <w:rPr>
                <w:rFonts w:ascii="Arial" w:hAnsi="Arial" w:cs="Arial"/>
                <w:color w:val="006600"/>
                <w:sz w:val="20"/>
                <w:szCs w:val="20"/>
              </w:rPr>
            </w:pPr>
          </w:p>
          <w:p w:rsidR="00B96C89" w:rsidRPr="00C465CF" w:rsidRDefault="00B96C89" w:rsidP="00B96C89">
            <w:pPr>
              <w:rPr>
                <w:rFonts w:ascii="Arial" w:hAnsi="Arial" w:cs="Arial"/>
                <w:b/>
                <w:color w:val="006600"/>
                <w:sz w:val="22"/>
                <w:szCs w:val="20"/>
              </w:rPr>
            </w:pPr>
            <w:r w:rsidRPr="00C465CF">
              <w:rPr>
                <w:rFonts w:ascii="Arial" w:hAnsi="Arial" w:cs="Arial"/>
                <w:b/>
                <w:color w:val="006600"/>
                <w:sz w:val="22"/>
                <w:szCs w:val="20"/>
              </w:rPr>
              <w:t>The Great Asthma Divide</w:t>
            </w:r>
          </w:p>
          <w:p w:rsidR="00B96C89" w:rsidRPr="00C465CF" w:rsidRDefault="00B96C89" w:rsidP="00B96C89">
            <w:pPr>
              <w:rPr>
                <w:rFonts w:ascii="Arial" w:hAnsi="Arial" w:cs="Arial"/>
                <w:color w:val="006600"/>
                <w:sz w:val="20"/>
                <w:szCs w:val="20"/>
              </w:rPr>
            </w:pPr>
            <w:r w:rsidRPr="00C465CF">
              <w:rPr>
                <w:rFonts w:ascii="Arial" w:hAnsi="Arial" w:cs="Arial"/>
                <w:color w:val="006600"/>
                <w:sz w:val="20"/>
                <w:szCs w:val="20"/>
              </w:rPr>
              <w:t xml:space="preserve">Asthma affects the lives of 5.4 million people across the UK. </w:t>
            </w:r>
            <w:r>
              <w:rPr>
                <w:rFonts w:ascii="Arial" w:hAnsi="Arial" w:cs="Arial"/>
                <w:color w:val="006600"/>
                <w:sz w:val="20"/>
                <w:szCs w:val="20"/>
              </w:rPr>
              <w:t>This report highlights</w:t>
            </w:r>
            <w:r w:rsidRPr="00C465CF">
              <w:rPr>
                <w:rFonts w:ascii="Arial" w:hAnsi="Arial" w:cs="Arial"/>
                <w:color w:val="006600"/>
                <w:sz w:val="20"/>
                <w:szCs w:val="20"/>
              </w:rPr>
              <w:t xml:space="preserve"> the experiences of people living with asthma and what care they receive.</w:t>
            </w:r>
            <w:r>
              <w:rPr>
                <w:rFonts w:ascii="Arial" w:hAnsi="Arial" w:cs="Arial"/>
                <w:color w:val="006600"/>
                <w:sz w:val="20"/>
                <w:szCs w:val="20"/>
              </w:rPr>
              <w:t xml:space="preserve"> The Survey</w:t>
            </w:r>
            <w:r w:rsidRPr="00C465CF">
              <w:rPr>
                <w:rFonts w:ascii="Arial" w:hAnsi="Arial" w:cs="Arial"/>
                <w:color w:val="006600"/>
                <w:sz w:val="20"/>
                <w:szCs w:val="20"/>
              </w:rPr>
              <w:t xml:space="preserve"> found </w:t>
            </w:r>
            <w:r>
              <w:rPr>
                <w:rFonts w:ascii="Arial" w:hAnsi="Arial" w:cs="Arial"/>
                <w:color w:val="006600"/>
                <w:sz w:val="20"/>
                <w:szCs w:val="20"/>
              </w:rPr>
              <w:t>that</w:t>
            </w:r>
            <w:r w:rsidRPr="00C465CF">
              <w:rPr>
                <w:rFonts w:ascii="Arial" w:hAnsi="Arial" w:cs="Arial"/>
                <w:color w:val="006600"/>
                <w:sz w:val="20"/>
                <w:szCs w:val="20"/>
              </w:rPr>
              <w:t xml:space="preserve"> health inequalit</w:t>
            </w:r>
            <w:r>
              <w:rPr>
                <w:rFonts w:ascii="Arial" w:hAnsi="Arial" w:cs="Arial"/>
                <w:color w:val="006600"/>
                <w:sz w:val="20"/>
                <w:szCs w:val="20"/>
              </w:rPr>
              <w:t>ies</w:t>
            </w:r>
            <w:r w:rsidRPr="00C465CF">
              <w:rPr>
                <w:rFonts w:ascii="Arial" w:hAnsi="Arial" w:cs="Arial"/>
                <w:color w:val="006600"/>
                <w:sz w:val="20"/>
                <w:szCs w:val="20"/>
              </w:rPr>
              <w:t xml:space="preserve"> has an impact on asthma control and the number of asthma attacks</w:t>
            </w:r>
            <w:r>
              <w:rPr>
                <w:rFonts w:ascii="Arial" w:hAnsi="Arial" w:cs="Arial"/>
                <w:color w:val="006600"/>
                <w:sz w:val="20"/>
                <w:szCs w:val="20"/>
              </w:rPr>
              <w:t xml:space="preserve"> and that</w:t>
            </w:r>
            <w:r w:rsidRPr="00C465CF">
              <w:rPr>
                <w:rFonts w:ascii="Arial" w:hAnsi="Arial" w:cs="Arial"/>
                <w:color w:val="006600"/>
                <w:sz w:val="20"/>
                <w:szCs w:val="20"/>
              </w:rPr>
              <w:t xml:space="preserve"> 47.3% </w:t>
            </w:r>
            <w:r>
              <w:rPr>
                <w:rFonts w:ascii="Arial" w:hAnsi="Arial" w:cs="Arial"/>
                <w:color w:val="006600"/>
                <w:sz w:val="20"/>
                <w:szCs w:val="20"/>
              </w:rPr>
              <w:t>those living in the most deprived communities</w:t>
            </w:r>
            <w:r w:rsidRPr="00C465CF">
              <w:rPr>
                <w:rFonts w:ascii="Arial" w:hAnsi="Arial" w:cs="Arial"/>
                <w:color w:val="006600"/>
                <w:sz w:val="20"/>
                <w:szCs w:val="20"/>
              </w:rPr>
              <w:t xml:space="preserve"> had suffered more than two asthma attacks in the past 12 months, comparing to 26.9% in the </w:t>
            </w:r>
            <w:r>
              <w:rPr>
                <w:rFonts w:ascii="Arial" w:hAnsi="Arial" w:cs="Arial"/>
                <w:color w:val="006600"/>
                <w:sz w:val="20"/>
                <w:szCs w:val="20"/>
              </w:rPr>
              <w:t>least deprived</w:t>
            </w:r>
            <w:r w:rsidRPr="00C465CF">
              <w:rPr>
                <w:rFonts w:ascii="Arial" w:hAnsi="Arial" w:cs="Arial"/>
                <w:color w:val="006600"/>
                <w:sz w:val="20"/>
                <w:szCs w:val="20"/>
              </w:rPr>
              <w:t xml:space="preserve"> – almost double the proportion.</w:t>
            </w:r>
          </w:p>
          <w:p w:rsidR="00B96C89" w:rsidRPr="00C465CF" w:rsidRDefault="00B96C89" w:rsidP="00B96C89">
            <w:pPr>
              <w:rPr>
                <w:rFonts w:ascii="Arial" w:hAnsi="Arial" w:cs="Arial"/>
                <w:color w:val="006600"/>
                <w:sz w:val="20"/>
                <w:szCs w:val="20"/>
              </w:rPr>
            </w:pPr>
          </w:p>
          <w:p w:rsidR="00B96C89" w:rsidRDefault="00B96C89" w:rsidP="00B96C89">
            <w:pPr>
              <w:rPr>
                <w:rFonts w:ascii="Arial" w:hAnsi="Arial" w:cs="Arial"/>
                <w:color w:val="006600"/>
                <w:sz w:val="20"/>
                <w:szCs w:val="20"/>
              </w:rPr>
            </w:pPr>
            <w:r>
              <w:rPr>
                <w:rFonts w:ascii="Arial" w:hAnsi="Arial" w:cs="Arial"/>
                <w:color w:val="006600"/>
                <w:sz w:val="20"/>
                <w:szCs w:val="20"/>
              </w:rPr>
              <w:t>In addition,</w:t>
            </w:r>
            <w:r>
              <w:t xml:space="preserve"> </w:t>
            </w:r>
            <w:r w:rsidRPr="00C465CF">
              <w:rPr>
                <w:rFonts w:ascii="Arial" w:hAnsi="Arial" w:cs="Arial"/>
                <w:color w:val="006600"/>
                <w:sz w:val="20"/>
                <w:szCs w:val="20"/>
              </w:rPr>
              <w:t>The number receiving basic care for asthma has doubled since 2013, but still three out of five are not receiving the basic asthma care they need to stay out of hospital and get on with their lives.</w:t>
            </w:r>
            <w:r>
              <w:rPr>
                <w:rFonts w:ascii="Arial" w:hAnsi="Arial" w:cs="Arial"/>
                <w:color w:val="006600"/>
                <w:sz w:val="20"/>
                <w:szCs w:val="20"/>
              </w:rPr>
              <w:t xml:space="preserve"> This equates to an</w:t>
            </w:r>
            <w:r w:rsidRPr="00C465CF">
              <w:rPr>
                <w:rFonts w:ascii="Arial" w:hAnsi="Arial" w:cs="Arial"/>
                <w:color w:val="006600"/>
                <w:sz w:val="20"/>
                <w:szCs w:val="20"/>
              </w:rPr>
              <w:t xml:space="preserve"> estimated 3.27m people with as</w:t>
            </w:r>
            <w:r>
              <w:rPr>
                <w:rFonts w:ascii="Arial" w:hAnsi="Arial" w:cs="Arial"/>
                <w:color w:val="006600"/>
                <w:sz w:val="20"/>
                <w:szCs w:val="20"/>
              </w:rPr>
              <w:t>thma are not getting the</w:t>
            </w:r>
            <w:r w:rsidRPr="00C465CF">
              <w:rPr>
                <w:rFonts w:ascii="Arial" w:hAnsi="Arial" w:cs="Arial"/>
                <w:color w:val="006600"/>
                <w:sz w:val="20"/>
                <w:szCs w:val="20"/>
              </w:rPr>
              <w:t xml:space="preserve"> asthma care</w:t>
            </w:r>
            <w:r>
              <w:rPr>
                <w:rFonts w:ascii="Arial" w:hAnsi="Arial" w:cs="Arial"/>
                <w:color w:val="006600"/>
                <w:sz w:val="20"/>
                <w:szCs w:val="20"/>
              </w:rPr>
              <w:t xml:space="preserve"> they need</w:t>
            </w:r>
            <w:r w:rsidRPr="00C465CF">
              <w:rPr>
                <w:rFonts w:ascii="Arial" w:hAnsi="Arial" w:cs="Arial"/>
                <w:color w:val="006600"/>
                <w:sz w:val="20"/>
                <w:szCs w:val="20"/>
              </w:rPr>
              <w:t>.</w:t>
            </w:r>
          </w:p>
          <w:p w:rsidR="00B96C89" w:rsidRDefault="00B96C89" w:rsidP="00B96C89">
            <w:pPr>
              <w:rPr>
                <w:rFonts w:ascii="Arial" w:hAnsi="Arial" w:cs="Arial"/>
                <w:color w:val="006600"/>
                <w:sz w:val="20"/>
                <w:szCs w:val="20"/>
              </w:rPr>
            </w:pPr>
          </w:p>
          <w:p w:rsidR="00B96C89" w:rsidRDefault="008A7ECB" w:rsidP="00B96C89">
            <w:pPr>
              <w:rPr>
                <w:rFonts w:ascii="Arial" w:hAnsi="Arial" w:cs="Arial"/>
                <w:color w:val="006600"/>
                <w:sz w:val="20"/>
                <w:szCs w:val="20"/>
              </w:rPr>
            </w:pPr>
            <w:hyperlink r:id="rId16" w:history="1">
              <w:r w:rsidR="00B96C89" w:rsidRPr="00C465CF">
                <w:rPr>
                  <w:rStyle w:val="Hyperlink"/>
                  <w:rFonts w:ascii="Arial" w:hAnsi="Arial" w:cs="Arial"/>
                  <w:sz w:val="20"/>
                  <w:szCs w:val="20"/>
                </w:rPr>
                <w:t>Report</w:t>
              </w:r>
            </w:hyperlink>
          </w:p>
          <w:p w:rsidR="00D406A6" w:rsidRPr="000C2295" w:rsidRDefault="00D406A6" w:rsidP="00AF4E8D">
            <w:pPr>
              <w:rPr>
                <w:rFonts w:ascii="Arial" w:hAnsi="Arial" w:cs="Arial"/>
                <w:sz w:val="20"/>
                <w:szCs w:val="20"/>
              </w:rPr>
            </w:pPr>
          </w:p>
        </w:tc>
      </w:tr>
      <w:tr w:rsidR="000F4B82" w:rsidTr="008A7ECB">
        <w:tc>
          <w:tcPr>
            <w:tcW w:w="19319" w:type="dxa"/>
          </w:tcPr>
          <w:p w:rsidR="00C57D50" w:rsidRPr="00C57D50" w:rsidRDefault="00C57D50" w:rsidP="00C57D50">
            <w:pPr>
              <w:rPr>
                <w:rFonts w:ascii="Arial" w:eastAsia="Times New Roman" w:hAnsi="Arial" w:cs="Arial"/>
                <w:sz w:val="20"/>
                <w:szCs w:val="20"/>
                <w:lang w:eastAsia="en-US"/>
              </w:rPr>
            </w:pPr>
          </w:p>
          <w:p w:rsidR="00C57D50" w:rsidRPr="00C57D50" w:rsidRDefault="00C57D50" w:rsidP="00C57D50">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rsidR="00C57D50" w:rsidRPr="00C57D50" w:rsidRDefault="00393346" w:rsidP="00393346">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r w:rsidR="000E0DFB">
              <w:rPr>
                <w:rFonts w:ascii="Arial" w:eastAsia="Times New Roman" w:hAnsi="Arial" w:cs="Arial"/>
                <w:color w:val="006600"/>
                <w:sz w:val="20"/>
                <w:szCs w:val="20"/>
                <w:lang w:eastAsia="en-US"/>
              </w:rPr>
              <w:t>i</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rsidR="000F4B82" w:rsidRPr="000C2295" w:rsidRDefault="00C57D50" w:rsidP="00C57D50">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7536A3" w:rsidTr="008A7ECB">
        <w:tc>
          <w:tcPr>
            <w:tcW w:w="19319" w:type="dxa"/>
          </w:tcPr>
          <w:p w:rsidR="007536A3" w:rsidRDefault="007536A3" w:rsidP="003C57F2">
            <w:pPr>
              <w:rPr>
                <w:rFonts w:ascii="Arial" w:hAnsi="Arial" w:cs="Arial"/>
                <w:b/>
                <w:color w:val="006600"/>
                <w:sz w:val="22"/>
                <w:szCs w:val="20"/>
              </w:rPr>
            </w:pPr>
            <w:bookmarkStart w:id="0" w:name="_GoBack"/>
            <w:bookmarkEnd w:id="0"/>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You can unsubscribe at any time.</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Ian Copley</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Project Co-ordinator</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Minding the Gap</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PO Box 700</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Burton Street</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 xml:space="preserve">Wakefield </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WF1 3EB</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 xml:space="preserve"> </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Tel: 01924 305632</w:t>
            </w:r>
          </w:p>
          <w:p w:rsidR="007536A3" w:rsidRDefault="007536A3" w:rsidP="00CD3E06">
            <w:pPr>
              <w:rPr>
                <w:rFonts w:ascii="Arial" w:hAnsi="Arial" w:cs="Arial"/>
                <w:b/>
                <w:color w:val="006600"/>
                <w:sz w:val="22"/>
                <w:szCs w:val="20"/>
              </w:rPr>
            </w:pPr>
            <w:r w:rsidRPr="003C57F2">
              <w:rPr>
                <w:rFonts w:ascii="Arial" w:hAnsi="Arial" w:cs="Arial"/>
                <w:b/>
                <w:color w:val="006600"/>
                <w:sz w:val="22"/>
                <w:szCs w:val="20"/>
              </w:rPr>
              <w:t>E-mail: icopley@wakefield.gov.uk</w:t>
            </w:r>
          </w:p>
        </w:tc>
      </w:tr>
    </w:tbl>
    <w:p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Contact List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inding the Gap (LA NewsBrief) $'`"/>
    <w:dataSource r:id="rId1"/>
    <w:addressFieldName w:val="email_address"/>
    <w:mailSubject w:val="Minding the Gap - News Brief -  No. 139"/>
    <w:odso>
      <w:udl w:val="Provider=Microsoft.ACE.OLEDB.12.0;User ID=Admin;Data Source=G:\Public Health\Joint Public Health\Minding the Gap\2012 and beyond\Database\Contact List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inding the Gap (LA NewsBrief) $'"/>
      <w:src r:id="rId2"/>
      <w:colDelim w:val="9"/>
      <w:type w:val="database"/>
      <w:fHdr/>
      <w:fieldMapData>
        <w:column w:val="0"/>
        <w:lid w:val="en-GB"/>
      </w:fieldMapData>
      <w:fieldMapData>
        <w:type w:val="dbColumn"/>
        <w:name w:val="Position"/>
        <w:mappedName w:val="Courtesy Title"/>
        <w:column w:val="3"/>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type w:val="dbColumn"/>
        <w:name w:val="Position"/>
        <w:mappedName w:val="Job Titl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address"/>
        <w:mappedName w:val="E-mail Address"/>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12F9D"/>
    <w:rsid w:val="00033B2A"/>
    <w:rsid w:val="0004448D"/>
    <w:rsid w:val="00072ABA"/>
    <w:rsid w:val="000847FF"/>
    <w:rsid w:val="000C2295"/>
    <w:rsid w:val="000C2A0F"/>
    <w:rsid w:val="000E0DFB"/>
    <w:rsid w:val="000F4B82"/>
    <w:rsid w:val="000F7390"/>
    <w:rsid w:val="00131211"/>
    <w:rsid w:val="00165857"/>
    <w:rsid w:val="00172068"/>
    <w:rsid w:val="00195103"/>
    <w:rsid w:val="001D1EFD"/>
    <w:rsid w:val="001D5A6A"/>
    <w:rsid w:val="001E34DF"/>
    <w:rsid w:val="001F21E2"/>
    <w:rsid w:val="002027B1"/>
    <w:rsid w:val="00212AD4"/>
    <w:rsid w:val="00220979"/>
    <w:rsid w:val="00224BB3"/>
    <w:rsid w:val="00234B41"/>
    <w:rsid w:val="00237057"/>
    <w:rsid w:val="00251F07"/>
    <w:rsid w:val="00261820"/>
    <w:rsid w:val="0028568E"/>
    <w:rsid w:val="002C047E"/>
    <w:rsid w:val="002C32DF"/>
    <w:rsid w:val="002D3C18"/>
    <w:rsid w:val="002E6F04"/>
    <w:rsid w:val="0030330B"/>
    <w:rsid w:val="003216CE"/>
    <w:rsid w:val="003352F0"/>
    <w:rsid w:val="0036133D"/>
    <w:rsid w:val="00393346"/>
    <w:rsid w:val="003A0668"/>
    <w:rsid w:val="003A63EE"/>
    <w:rsid w:val="003C57F2"/>
    <w:rsid w:val="00410B68"/>
    <w:rsid w:val="00413820"/>
    <w:rsid w:val="00451ADD"/>
    <w:rsid w:val="00460FC5"/>
    <w:rsid w:val="00475547"/>
    <w:rsid w:val="004764AD"/>
    <w:rsid w:val="00484322"/>
    <w:rsid w:val="00492BF2"/>
    <w:rsid w:val="004E525C"/>
    <w:rsid w:val="00507B1C"/>
    <w:rsid w:val="00537A0D"/>
    <w:rsid w:val="0056022E"/>
    <w:rsid w:val="00587964"/>
    <w:rsid w:val="005B7058"/>
    <w:rsid w:val="005E03DD"/>
    <w:rsid w:val="006101E1"/>
    <w:rsid w:val="00630721"/>
    <w:rsid w:val="006344EE"/>
    <w:rsid w:val="006375C9"/>
    <w:rsid w:val="00660D9E"/>
    <w:rsid w:val="00693879"/>
    <w:rsid w:val="006B2470"/>
    <w:rsid w:val="006C0E9C"/>
    <w:rsid w:val="00707473"/>
    <w:rsid w:val="0070761D"/>
    <w:rsid w:val="00710C14"/>
    <w:rsid w:val="0071349A"/>
    <w:rsid w:val="00714C01"/>
    <w:rsid w:val="007159E4"/>
    <w:rsid w:val="0072787E"/>
    <w:rsid w:val="007536A3"/>
    <w:rsid w:val="00757BC3"/>
    <w:rsid w:val="007708EC"/>
    <w:rsid w:val="00786D4C"/>
    <w:rsid w:val="00795346"/>
    <w:rsid w:val="007A25E1"/>
    <w:rsid w:val="007A6ED5"/>
    <w:rsid w:val="007C4BBF"/>
    <w:rsid w:val="007D586F"/>
    <w:rsid w:val="00850F94"/>
    <w:rsid w:val="00872AC3"/>
    <w:rsid w:val="00882A50"/>
    <w:rsid w:val="008A35C2"/>
    <w:rsid w:val="008A7ECB"/>
    <w:rsid w:val="008B56E1"/>
    <w:rsid w:val="008C37AE"/>
    <w:rsid w:val="008D6C2A"/>
    <w:rsid w:val="008F4309"/>
    <w:rsid w:val="008F45FB"/>
    <w:rsid w:val="00907C6C"/>
    <w:rsid w:val="00933B07"/>
    <w:rsid w:val="009D0C9E"/>
    <w:rsid w:val="009E4FC9"/>
    <w:rsid w:val="009E6485"/>
    <w:rsid w:val="00A11EF8"/>
    <w:rsid w:val="00A13423"/>
    <w:rsid w:val="00A37D1E"/>
    <w:rsid w:val="00A54802"/>
    <w:rsid w:val="00A62C6F"/>
    <w:rsid w:val="00A65AEE"/>
    <w:rsid w:val="00A80D61"/>
    <w:rsid w:val="00AA15BF"/>
    <w:rsid w:val="00AC7C4E"/>
    <w:rsid w:val="00AE1BEB"/>
    <w:rsid w:val="00AF2FAE"/>
    <w:rsid w:val="00AF4E8D"/>
    <w:rsid w:val="00B07B42"/>
    <w:rsid w:val="00B9113B"/>
    <w:rsid w:val="00B91206"/>
    <w:rsid w:val="00B930F9"/>
    <w:rsid w:val="00B96C89"/>
    <w:rsid w:val="00BA3E7C"/>
    <w:rsid w:val="00BB161A"/>
    <w:rsid w:val="00C04CB5"/>
    <w:rsid w:val="00C23581"/>
    <w:rsid w:val="00C40416"/>
    <w:rsid w:val="00C465CF"/>
    <w:rsid w:val="00C57D50"/>
    <w:rsid w:val="00C608AD"/>
    <w:rsid w:val="00C73976"/>
    <w:rsid w:val="00C82D53"/>
    <w:rsid w:val="00C871CE"/>
    <w:rsid w:val="00C965FC"/>
    <w:rsid w:val="00CA7AB7"/>
    <w:rsid w:val="00CC26DD"/>
    <w:rsid w:val="00CD3E06"/>
    <w:rsid w:val="00CF157D"/>
    <w:rsid w:val="00D24437"/>
    <w:rsid w:val="00D406A6"/>
    <w:rsid w:val="00D50511"/>
    <w:rsid w:val="00D62679"/>
    <w:rsid w:val="00D90176"/>
    <w:rsid w:val="00D90F47"/>
    <w:rsid w:val="00DA33A6"/>
    <w:rsid w:val="00DA539B"/>
    <w:rsid w:val="00DE1638"/>
    <w:rsid w:val="00E210DE"/>
    <w:rsid w:val="00E87E2C"/>
    <w:rsid w:val="00E961BB"/>
    <w:rsid w:val="00EA7C33"/>
    <w:rsid w:val="00EB0ABC"/>
    <w:rsid w:val="00EB30E0"/>
    <w:rsid w:val="00EC572E"/>
    <w:rsid w:val="00EE2CE7"/>
    <w:rsid w:val="00F15FB5"/>
    <w:rsid w:val="00F511D3"/>
    <w:rsid w:val="00F67BAF"/>
    <w:rsid w:val="00F87388"/>
    <w:rsid w:val="00F9655F"/>
    <w:rsid w:val="00FA4EC2"/>
    <w:rsid w:val="00FB70E9"/>
    <w:rsid w:val="00FC61DD"/>
    <w:rsid w:val="00FE254A"/>
    <w:rsid w:val="00F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sage.org/wp-content/uploads/2020/05/The-Independent-SAGE-Report.pdf?utm_source=The%20King%27s%20Fund%20newsletters%20%28main%20account%29&amp;utm_medium=email&amp;utm_campaign=11536489_NEWSL_HMP%202020-05-15&amp;dm_i=21A8,6V9M1,FLWQCU,RKL47,1" TargetMode="External"/><Relationship Id="rId13" Type="http://schemas.openxmlformats.org/officeDocument/2006/relationships/hyperlink" Target="https://www.ifs.org.uk/inequality/wp-content/uploads/2020/04/Are-some-ethnic-groups-more-vulnerable-to-COVID-19-than-others-V2-IFS-Briefing-Note.pdf?utm_source=The%20King%27s%20Fund%20newsletters%20%28main%20account%29&amp;utm_medium=email&amp;utm_campaign=11506485_NEWSL_HWB_2020-05-11&amp;dm_i=21A8,6UMGL,FLWQCU,RIGXY,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org.uk/workforce/peoplemanagement/participation/" TargetMode="External"/><Relationship Id="rId12" Type="http://schemas.openxmlformats.org/officeDocument/2006/relationships/hyperlink" Target="https://yhphnetwork.co.uk/media/58574/proportionate-universalism-can-be-our-new-normal-martyn-allison-2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thma.org.uk/58a0ecb9/globalassets/campaigns/publications/The-Great-Asthma-Divide.pdf" TargetMode="External"/><Relationship Id="rId1" Type="http://schemas.openxmlformats.org/officeDocument/2006/relationships/numbering" Target="numbering.xml"/><Relationship Id="rId6" Type="http://schemas.openxmlformats.org/officeDocument/2006/relationships/hyperlink" Target="https://yhphnetwork.co.uk/links-and-resources/minding-the-gap/" TargetMode="External"/><Relationship Id="rId11" Type="http://schemas.openxmlformats.org/officeDocument/2006/relationships/hyperlink" Target="https://www.scie.org.uk/care-providers/coronavirus-covid-19/dementia/care-homes?utm_campaign=11544303_SCIELine%2014%20May&amp;utm_medium=email&amp;utm_source=SOCIAL%20CARE%20INSTITUTE%20FOR%20EXCELLENCE%20&amp;utm_sfid=0030f00002sMD4JAAW&amp;utm_role=Policy%2Fpublic%20affairs&amp;dm_i=4O5,6VFN3,RO4ANM,RL3DJ,1" TargetMode="External"/><Relationship Id="rId5" Type="http://schemas.openxmlformats.org/officeDocument/2006/relationships/hyperlink" Target="https://twitter.com/mindingthegapyh" TargetMode="External"/><Relationship Id="rId15" Type="http://schemas.openxmlformats.org/officeDocument/2006/relationships/hyperlink" Target="https://researchbriefings.files.parliament.uk/documents/SN01164/SN01164.pdf?utm_source=The+King%27s+Fund+newsletters+%28main+account%29&amp;utm_medium=email&amp;utm_campaign=11536489_NEWSL_HMP+2020-05-15&amp;dm_i=21A8%2C6V9M1%2CFLWQCU%2CRKRUT%2C1" TargetMode="External"/><Relationship Id="rId10" Type="http://schemas.openxmlformats.org/officeDocument/2006/relationships/hyperlink" Target="https://www.alzheimers.org.uk/news/2020-05-13/care-homes-left-fend-themselves-against-coronavirus" TargetMode="External"/><Relationship Id="rId4" Type="http://schemas.openxmlformats.org/officeDocument/2006/relationships/webSettings" Target="webSettings.xml"/><Relationship Id="rId9" Type="http://schemas.openxmlformats.org/officeDocument/2006/relationships/hyperlink" Target="https://www.kingsfund.org.uk/publications/deaths-covid-19?utm_source=The%20King%27s%20Fund%20newsletters%20%28main%20account%29&amp;utm_medium=email&amp;utm_campaign=11547104_NEWSL_The%20Weekly%20Update%202020-05-15&amp;utm_content=deaths_covid_19_explainer_button&amp;dm_i=21A8,6VHSW,FLWQCU,RLDYB,1" TargetMode="External"/><Relationship Id="rId14" Type="http://schemas.openxmlformats.org/officeDocument/2006/relationships/hyperlink" Target="https://www.tuc.org.uk/sites/default/files/2020-04/Preparing%20for%20the%20return%20to%20work.pdf?utm_source=The%20King%27s%20Fund%20newsletters%20%28main%20account%29&amp;utm_medium=email&amp;utm_campaign=11506485_NEWSL_HWB_2020-05-11&amp;dm_i=21A8,6UMGL,FLWQCU,RGZCF,1"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Contact%20Lists.xls" TargetMode="External"/><Relationship Id="rId1" Type="http://schemas.openxmlformats.org/officeDocument/2006/relationships/mailMergeSource" Target="file:///G:\Public%20Health\Joint%20Public%20Health\Minding%20the%20Gap\2012%20and%20beyond\Database\Contact%20List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17</cp:revision>
  <dcterms:created xsi:type="dcterms:W3CDTF">2020-05-13T20:20:00Z</dcterms:created>
  <dcterms:modified xsi:type="dcterms:W3CDTF">2020-05-18T08:09:00Z</dcterms:modified>
</cp:coreProperties>
</file>